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C3" w:rsidRDefault="00DE0CC3" w:rsidP="00DE0CC3">
      <w:pPr>
        <w:rPr>
          <w:rFonts w:cstheme="minorHAnsi"/>
          <w:color w:val="222A35" w:themeColor="text2" w:themeShade="80"/>
          <w:lang w:val="fr-FR"/>
        </w:rPr>
      </w:pPr>
    </w:p>
    <w:p w:rsidR="00727351" w:rsidRDefault="00727351" w:rsidP="007F40CE">
      <w:pPr>
        <w:spacing w:line="276" w:lineRule="auto"/>
        <w:rPr>
          <w:rFonts w:cstheme="minorHAnsi"/>
          <w:b/>
          <w:bCs/>
          <w:color w:val="1F4E79" w:themeColor="accent1" w:themeShade="80"/>
          <w:sz w:val="24"/>
          <w:szCs w:val="24"/>
          <w:lang w:val="fr-FR"/>
        </w:rPr>
      </w:pPr>
    </w:p>
    <w:p w:rsidR="00DE0CC3" w:rsidRPr="00FB181A" w:rsidRDefault="00DE0CC3" w:rsidP="00DE0CC3">
      <w:pPr>
        <w:spacing w:line="276" w:lineRule="auto"/>
        <w:jc w:val="center"/>
        <w:rPr>
          <w:rFonts w:cstheme="minorHAnsi"/>
          <w:b/>
          <w:bCs/>
          <w:color w:val="2E74B5" w:themeColor="accent1" w:themeShade="BF"/>
          <w:sz w:val="24"/>
          <w:szCs w:val="24"/>
          <w:lang w:val="fr-FR"/>
        </w:rPr>
      </w:pPr>
      <w:r w:rsidRPr="00FB181A">
        <w:rPr>
          <w:rFonts w:cstheme="minorHAnsi"/>
          <w:b/>
          <w:bCs/>
          <w:color w:val="2E74B5" w:themeColor="accent1" w:themeShade="BF"/>
          <w:sz w:val="24"/>
          <w:szCs w:val="24"/>
          <w:lang w:val="fr-FR"/>
        </w:rPr>
        <w:t>NOTE CONCEPTUELLE</w:t>
      </w:r>
    </w:p>
    <w:p w:rsidR="00076158" w:rsidRPr="00076158" w:rsidRDefault="00076158" w:rsidP="00076158">
      <w:pPr>
        <w:spacing w:line="276" w:lineRule="auto"/>
        <w:jc w:val="center"/>
        <w:rPr>
          <w:rFonts w:cstheme="minorHAnsi"/>
          <w:b/>
          <w:bCs/>
          <w:color w:val="2E74B5" w:themeColor="accent1" w:themeShade="BF"/>
          <w:sz w:val="24"/>
          <w:szCs w:val="24"/>
          <w:lang w:val="fr-FR"/>
        </w:rPr>
      </w:pPr>
      <w:bookmarkStart w:id="0" w:name="_GoBack"/>
      <w:r w:rsidRPr="00076158">
        <w:rPr>
          <w:rFonts w:cstheme="minorHAnsi"/>
          <w:b/>
          <w:bCs/>
          <w:color w:val="2E74B5" w:themeColor="accent1" w:themeShade="BF"/>
          <w:sz w:val="24"/>
          <w:szCs w:val="24"/>
          <w:lang w:val="fr-FR"/>
        </w:rPr>
        <w:t>Atelier Régional sur « la Résistance aux Antimicrobiens : cadre global et expériences des pays »</w:t>
      </w:r>
      <w:bookmarkEnd w:id="0"/>
    </w:p>
    <w:p w:rsidR="00076158" w:rsidRPr="00076158" w:rsidRDefault="00076158" w:rsidP="00076158">
      <w:pPr>
        <w:spacing w:line="276" w:lineRule="auto"/>
        <w:jc w:val="center"/>
        <w:rPr>
          <w:rFonts w:cstheme="minorHAnsi"/>
          <w:b/>
          <w:bCs/>
          <w:color w:val="2E74B5" w:themeColor="accent1" w:themeShade="BF"/>
          <w:sz w:val="24"/>
          <w:szCs w:val="24"/>
          <w:lang w:val="fr-FR"/>
        </w:rPr>
      </w:pPr>
      <w:r w:rsidRPr="00076158">
        <w:rPr>
          <w:rFonts w:cstheme="minorHAnsi"/>
          <w:b/>
          <w:bCs/>
          <w:color w:val="2E74B5" w:themeColor="accent1" w:themeShade="BF"/>
          <w:sz w:val="24"/>
          <w:szCs w:val="24"/>
          <w:lang w:val="fr-FR"/>
        </w:rPr>
        <w:t>ZOOM</w:t>
      </w:r>
    </w:p>
    <w:p w:rsidR="00076158" w:rsidRDefault="00076158" w:rsidP="00076158">
      <w:pPr>
        <w:spacing w:line="276" w:lineRule="auto"/>
        <w:jc w:val="center"/>
        <w:rPr>
          <w:rFonts w:cstheme="minorHAnsi"/>
          <w:b/>
          <w:bCs/>
          <w:color w:val="2E74B5" w:themeColor="accent1" w:themeShade="BF"/>
          <w:sz w:val="24"/>
          <w:szCs w:val="24"/>
          <w:lang w:val="fr-FR"/>
        </w:rPr>
      </w:pPr>
      <w:r w:rsidRPr="00076158">
        <w:rPr>
          <w:rFonts w:cstheme="minorHAnsi"/>
          <w:b/>
          <w:bCs/>
          <w:color w:val="2E74B5" w:themeColor="accent1" w:themeShade="BF"/>
          <w:sz w:val="24"/>
          <w:szCs w:val="24"/>
          <w:lang w:val="fr-FR"/>
        </w:rPr>
        <w:t>6 Décembre 2022</w:t>
      </w:r>
    </w:p>
    <w:p w:rsidR="00DE0CC3" w:rsidRPr="0029611F" w:rsidRDefault="00DE0CC3" w:rsidP="00076158">
      <w:pPr>
        <w:spacing w:line="276" w:lineRule="auto"/>
        <w:rPr>
          <w:rFonts w:cstheme="minorHAnsi"/>
          <w:b/>
          <w:bCs/>
          <w:color w:val="5B9BD5" w:themeColor="accent1"/>
          <w:sz w:val="24"/>
          <w:szCs w:val="24"/>
          <w:lang w:val="fr-FR"/>
        </w:rPr>
      </w:pPr>
      <w:r w:rsidRPr="0029611F">
        <w:rPr>
          <w:rFonts w:cstheme="minorHAnsi"/>
          <w:b/>
          <w:bCs/>
          <w:color w:val="5B9BD5" w:themeColor="accent1"/>
          <w:sz w:val="24"/>
          <w:szCs w:val="24"/>
          <w:lang w:val="fr-FR"/>
        </w:rPr>
        <w:t xml:space="preserve">Contexte </w:t>
      </w:r>
    </w:p>
    <w:p w:rsidR="00076158" w:rsidRPr="00076158" w:rsidRDefault="00076158" w:rsidP="00076158">
      <w:pPr>
        <w:spacing w:line="276" w:lineRule="auto"/>
        <w:rPr>
          <w:rFonts w:cstheme="minorHAnsi"/>
          <w:color w:val="222A35" w:themeColor="text2" w:themeShade="80"/>
          <w:sz w:val="24"/>
          <w:szCs w:val="24"/>
          <w:lang w:val="fr-FR"/>
        </w:rPr>
      </w:pPr>
      <w:r w:rsidRPr="00076158">
        <w:rPr>
          <w:rFonts w:cstheme="minorHAnsi"/>
          <w:color w:val="222A35" w:themeColor="text2" w:themeShade="80"/>
          <w:sz w:val="24"/>
          <w:szCs w:val="24"/>
          <w:lang w:val="fr-FR"/>
        </w:rPr>
        <w:t>Les antimicrobiens jouent un rôle critique dans le traitement des maladies des animaux d’élevage (aquatiques et terrestres) et des plantes cultivées. Leur utilisation est essentielle pour la sécurité alimentaire, pour le bien-être humain et celui des animaux. Toutefois, l’utilisation inappropriée de ces médicaments favorise l’apparition et la propagation de micro-organismes résistants aux antimicrobiens, ce qui va compromettre sérieusement l’innocuité des aliments, la sécurité alimentaire, et le développement économique durable.</w:t>
      </w:r>
    </w:p>
    <w:p w:rsidR="00076158" w:rsidRPr="00076158" w:rsidRDefault="00076158" w:rsidP="00076158">
      <w:pPr>
        <w:spacing w:line="276" w:lineRule="auto"/>
        <w:rPr>
          <w:rFonts w:cstheme="minorHAnsi"/>
          <w:color w:val="222A35" w:themeColor="text2" w:themeShade="80"/>
          <w:sz w:val="24"/>
          <w:szCs w:val="24"/>
          <w:lang w:val="fr-FR"/>
        </w:rPr>
      </w:pPr>
      <w:r w:rsidRPr="00076158">
        <w:rPr>
          <w:rFonts w:cstheme="minorHAnsi"/>
          <w:color w:val="222A35" w:themeColor="text2" w:themeShade="80"/>
          <w:sz w:val="24"/>
          <w:szCs w:val="24"/>
          <w:lang w:val="fr-FR"/>
        </w:rPr>
        <w:t>Actuellement, environ une personne par minute meurt à cause d’une infection devenue résistante aux antibiotiques ou à d’autres traitements antimicrobiens et, faute d’action, davantage de vies humaines et de subsistances seront compromises. Les conséquences sanitaires et les coûts économiques de la résistance aux antimicrobiens (RAM) sont significatifs, et sont d’autant plus que la population humaine dans le monde continue d’augmenter ainsi que sa demande alimentaire. Par ailleurs, il n’y a pas de frontières pour les bactéries résistantes, qui se transfèrent également entre secteurs de telle façon qu’en 2050 cette résistance fera chuter l’économie mondiale de plus de 6 000 milliards d’USD par an – presque 4 pour cent du produit intérieur brut.</w:t>
      </w:r>
    </w:p>
    <w:p w:rsidR="00076158" w:rsidRPr="00076158" w:rsidRDefault="00076158" w:rsidP="00076158">
      <w:pPr>
        <w:spacing w:line="276" w:lineRule="auto"/>
        <w:rPr>
          <w:rFonts w:cstheme="minorHAnsi"/>
          <w:color w:val="222A35" w:themeColor="text2" w:themeShade="80"/>
          <w:sz w:val="24"/>
          <w:szCs w:val="24"/>
          <w:lang w:val="fr-FR"/>
        </w:rPr>
      </w:pPr>
      <w:r w:rsidRPr="00076158">
        <w:rPr>
          <w:rFonts w:cstheme="minorHAnsi"/>
          <w:color w:val="222A35" w:themeColor="text2" w:themeShade="80"/>
          <w:sz w:val="24"/>
          <w:szCs w:val="24"/>
          <w:lang w:val="fr-FR"/>
        </w:rPr>
        <w:t>Le risque da la RAM peut être particulièrement élevé dans les pays où la législation, la surveillance de l’utilisation d’antimicrobiens, et la prévention et maîtrise de la résistance sont faibles ou inadéquates.</w:t>
      </w:r>
    </w:p>
    <w:p w:rsidR="00076158" w:rsidRPr="00076158" w:rsidRDefault="00076158" w:rsidP="00076158">
      <w:pPr>
        <w:spacing w:line="276" w:lineRule="auto"/>
        <w:rPr>
          <w:rFonts w:cstheme="minorHAnsi"/>
          <w:color w:val="222A35" w:themeColor="text2" w:themeShade="80"/>
          <w:sz w:val="24"/>
          <w:szCs w:val="24"/>
          <w:lang w:val="fr-FR"/>
        </w:rPr>
      </w:pPr>
      <w:r w:rsidRPr="00076158">
        <w:rPr>
          <w:rFonts w:cstheme="minorHAnsi"/>
          <w:color w:val="222A35" w:themeColor="text2" w:themeShade="80"/>
          <w:sz w:val="24"/>
          <w:szCs w:val="24"/>
          <w:lang w:val="fr-FR"/>
        </w:rPr>
        <w:t>L'augmentation et la propagation de la résistance aux antimicrobiens entraveront la réalisation des objectifs de développement durable (ODD), en particulier ceux liés à la santé, à la réduction de la pauvreté, à la sécurité alimentaire et à la croissance économique.</w:t>
      </w:r>
    </w:p>
    <w:p w:rsidR="00076158" w:rsidRPr="00076158" w:rsidRDefault="00076158" w:rsidP="00076158">
      <w:pPr>
        <w:spacing w:line="276" w:lineRule="auto"/>
        <w:rPr>
          <w:rFonts w:cstheme="minorHAnsi"/>
          <w:color w:val="222A35" w:themeColor="text2" w:themeShade="80"/>
          <w:sz w:val="24"/>
          <w:szCs w:val="24"/>
          <w:lang w:val="fr-FR"/>
        </w:rPr>
      </w:pPr>
      <w:r w:rsidRPr="00076158">
        <w:rPr>
          <w:rFonts w:cstheme="minorHAnsi"/>
          <w:color w:val="222A35" w:themeColor="text2" w:themeShade="80"/>
          <w:sz w:val="24"/>
          <w:szCs w:val="24"/>
          <w:lang w:val="fr-FR"/>
        </w:rPr>
        <w:t>Par conséquent, la lutte contre la résistance aux antimicrobiens est un élément essentiel pour atteindre les objectifs de développement durable (ODD). Les liens entre les secteurs de la santé humaine, de la santé animale, de la production végétale, de la sécurité alimentaire et de l'environnement sont de plus en plus reconnus, tant en termes d'évolution du problème de la résistance aux antimicrobiens que de solutions à ce problème. Afin de lutter efficacement contre la RAM, il est nécessaire d'adopter une approche « One Health ».</w:t>
      </w:r>
    </w:p>
    <w:p w:rsidR="00076158" w:rsidRDefault="00076158" w:rsidP="00076158">
      <w:pPr>
        <w:spacing w:line="276" w:lineRule="auto"/>
        <w:rPr>
          <w:rFonts w:cstheme="minorHAnsi"/>
          <w:color w:val="222A35" w:themeColor="text2" w:themeShade="80"/>
          <w:sz w:val="24"/>
          <w:szCs w:val="24"/>
          <w:lang w:val="fr-FR"/>
        </w:rPr>
      </w:pPr>
      <w:r w:rsidRPr="00076158">
        <w:rPr>
          <w:rFonts w:cstheme="minorHAnsi"/>
          <w:color w:val="222A35" w:themeColor="text2" w:themeShade="80"/>
          <w:sz w:val="24"/>
          <w:szCs w:val="24"/>
          <w:lang w:val="fr-FR"/>
        </w:rPr>
        <w:t>Les organisations quadripartites : l'Organisation des Nations Unies pour l'alimentation et l'agriculture (FAO), le Programme des Nations Unies pour l'environnement (PNUE), l'Organisation mondiale de la santé (OMS) et l'Organisation mondiale de la santé animale (WOAH, fondée sous le nom d'OIE) se sont serré les mains pour combattre ce fléau dans une approche "one health".</w:t>
      </w:r>
    </w:p>
    <w:p w:rsidR="00B50D2A" w:rsidRDefault="00B50D2A" w:rsidP="00076158">
      <w:pPr>
        <w:spacing w:line="276" w:lineRule="auto"/>
        <w:rPr>
          <w:rFonts w:cstheme="minorHAnsi"/>
          <w:color w:val="222A35" w:themeColor="text2" w:themeShade="80"/>
          <w:sz w:val="24"/>
          <w:szCs w:val="24"/>
          <w:lang w:val="fr-FR"/>
        </w:rPr>
      </w:pPr>
    </w:p>
    <w:p w:rsidR="00B50D2A" w:rsidRDefault="00B50D2A" w:rsidP="00076158">
      <w:pPr>
        <w:spacing w:line="276" w:lineRule="auto"/>
        <w:rPr>
          <w:rFonts w:cstheme="minorHAnsi"/>
          <w:color w:val="222A35" w:themeColor="text2" w:themeShade="80"/>
          <w:sz w:val="24"/>
          <w:szCs w:val="24"/>
          <w:lang w:val="fr-FR"/>
        </w:rPr>
      </w:pPr>
    </w:p>
    <w:p w:rsidR="00B50D2A" w:rsidRDefault="00B50D2A" w:rsidP="00B50D2A">
      <w:pPr>
        <w:spacing w:line="276" w:lineRule="auto"/>
        <w:rPr>
          <w:rFonts w:cstheme="minorHAnsi"/>
          <w:color w:val="222A35" w:themeColor="text2" w:themeShade="80"/>
          <w:sz w:val="24"/>
          <w:szCs w:val="24"/>
          <w:lang w:val="fr-FR"/>
        </w:rPr>
      </w:pPr>
      <w:r w:rsidRPr="00B50D2A">
        <w:rPr>
          <w:rFonts w:cstheme="minorHAnsi"/>
          <w:color w:val="222A35" w:themeColor="text2" w:themeShade="80"/>
          <w:sz w:val="24"/>
          <w:szCs w:val="24"/>
          <w:lang w:val="fr-FR"/>
        </w:rPr>
        <w:lastRenderedPageBreak/>
        <w:t>Un</w:t>
      </w:r>
      <w:r>
        <w:rPr>
          <w:rFonts w:cstheme="minorHAnsi"/>
          <w:color w:val="222A35" w:themeColor="text2" w:themeShade="80"/>
          <w:sz w:val="24"/>
          <w:szCs w:val="24"/>
          <w:lang w:val="fr-FR"/>
        </w:rPr>
        <w:t xml:space="preserve"> </w:t>
      </w:r>
      <w:r w:rsidRPr="00B50D2A">
        <w:rPr>
          <w:rFonts w:cstheme="minorHAnsi"/>
          <w:color w:val="222A35" w:themeColor="text2" w:themeShade="80"/>
          <w:sz w:val="24"/>
          <w:szCs w:val="24"/>
          <w:lang w:val="fr-FR"/>
        </w:rPr>
        <w:t>Fond fiduciaire multipartenaires pour la lutte contre la résistance aux antimicrobiens a été créé en 2019.</w:t>
      </w:r>
      <w:r>
        <w:rPr>
          <w:rFonts w:cstheme="minorHAnsi"/>
          <w:color w:val="222A35" w:themeColor="text2" w:themeShade="80"/>
          <w:sz w:val="24"/>
          <w:szCs w:val="24"/>
          <w:lang w:val="fr-FR"/>
        </w:rPr>
        <w:t xml:space="preserve"> Il </w:t>
      </w:r>
      <w:r w:rsidRPr="00B50D2A">
        <w:rPr>
          <w:rFonts w:cstheme="minorHAnsi"/>
          <w:color w:val="222A35" w:themeColor="text2" w:themeShade="80"/>
          <w:sz w:val="24"/>
          <w:szCs w:val="24"/>
          <w:lang w:val="fr-FR"/>
        </w:rPr>
        <w:t>vise principalement à appuyer les interventions menées conjointement pour lutter contre la résistance aux antimicrobiens, coordonnées par l’Alliance quadripartite aux niveaux mondial, régional et national. Il finance des programmes dynamiques et coordonnés dont l’objectif est de fournir des conseils en matière de politique, d’apporter une assistance technique et de renforcer les capacités, conformément aux demandes exprimées par les pays Membres auprès de la FAO, de l’OMSA, de l’OMS et de l'UNEP.</w:t>
      </w:r>
    </w:p>
    <w:p w:rsidR="7F6560A1" w:rsidRPr="0029611F" w:rsidRDefault="7F6560A1" w:rsidP="00076158">
      <w:pPr>
        <w:spacing w:line="276" w:lineRule="auto"/>
        <w:rPr>
          <w:rFonts w:cstheme="minorHAnsi"/>
          <w:b/>
          <w:bCs/>
          <w:color w:val="5B9BD5" w:themeColor="accent1"/>
          <w:sz w:val="24"/>
          <w:szCs w:val="24"/>
          <w:lang w:val="fr-FR"/>
        </w:rPr>
      </w:pPr>
      <w:r w:rsidRPr="0029611F">
        <w:rPr>
          <w:rFonts w:cstheme="minorHAnsi"/>
          <w:b/>
          <w:bCs/>
          <w:color w:val="5B9BD5" w:themeColor="accent1"/>
          <w:sz w:val="24"/>
          <w:szCs w:val="24"/>
          <w:lang w:val="fr-FR"/>
        </w:rPr>
        <w:t xml:space="preserve">Objectifs : </w:t>
      </w:r>
    </w:p>
    <w:p w:rsidR="00F574D5" w:rsidRPr="0029611F" w:rsidRDefault="7F6560A1" w:rsidP="00F574D5">
      <w:pPr>
        <w:spacing w:line="276" w:lineRule="auto"/>
        <w:jc w:val="both"/>
        <w:rPr>
          <w:rFonts w:cstheme="minorHAnsi"/>
          <w:color w:val="222A35" w:themeColor="text2" w:themeShade="80"/>
          <w:sz w:val="24"/>
          <w:szCs w:val="24"/>
          <w:lang w:val="fr-FR"/>
        </w:rPr>
      </w:pPr>
      <w:r w:rsidRPr="0029611F">
        <w:rPr>
          <w:rFonts w:cstheme="minorHAnsi"/>
          <w:color w:val="222A35" w:themeColor="text2" w:themeShade="80"/>
          <w:sz w:val="24"/>
          <w:szCs w:val="24"/>
          <w:lang w:val="fr-FR"/>
        </w:rPr>
        <w:t>L</w:t>
      </w:r>
      <w:r w:rsidR="00F574D5" w:rsidRPr="0029611F">
        <w:rPr>
          <w:rFonts w:cstheme="minorHAnsi"/>
          <w:color w:val="222A35" w:themeColor="text2" w:themeShade="80"/>
          <w:sz w:val="24"/>
          <w:szCs w:val="24"/>
          <w:lang w:val="fr-FR"/>
        </w:rPr>
        <w:t>es objectifs de ce webinaire sont :</w:t>
      </w:r>
    </w:p>
    <w:p w:rsidR="00F574D5" w:rsidRPr="0029611F" w:rsidRDefault="00F574D5" w:rsidP="00076158">
      <w:pPr>
        <w:pStyle w:val="Paragraphedeliste"/>
        <w:numPr>
          <w:ilvl w:val="0"/>
          <w:numId w:val="3"/>
        </w:numPr>
        <w:spacing w:line="276" w:lineRule="auto"/>
        <w:jc w:val="both"/>
        <w:rPr>
          <w:rFonts w:cstheme="minorHAnsi"/>
          <w:color w:val="222A35" w:themeColor="text2" w:themeShade="80"/>
          <w:sz w:val="24"/>
          <w:szCs w:val="24"/>
          <w:lang w:val="fr-FR"/>
        </w:rPr>
      </w:pPr>
      <w:r w:rsidRPr="0029611F">
        <w:rPr>
          <w:rFonts w:cstheme="minorHAnsi"/>
          <w:color w:val="222A35" w:themeColor="text2" w:themeShade="80"/>
          <w:sz w:val="24"/>
          <w:szCs w:val="24"/>
          <w:lang w:val="fr-FR"/>
        </w:rPr>
        <w:t>P</w:t>
      </w:r>
      <w:r w:rsidR="7F6560A1" w:rsidRPr="0029611F">
        <w:rPr>
          <w:rFonts w:cstheme="minorHAnsi"/>
          <w:color w:val="222A35" w:themeColor="text2" w:themeShade="80"/>
          <w:sz w:val="24"/>
          <w:szCs w:val="24"/>
          <w:lang w:val="fr-FR"/>
        </w:rPr>
        <w:t xml:space="preserve">résenter </w:t>
      </w:r>
      <w:r w:rsidR="00076158">
        <w:rPr>
          <w:rFonts w:cstheme="minorHAnsi"/>
          <w:color w:val="222A35" w:themeColor="text2" w:themeShade="80"/>
          <w:sz w:val="24"/>
          <w:szCs w:val="24"/>
          <w:lang w:val="fr-FR"/>
        </w:rPr>
        <w:t>le cadre stratégique mondial pour la collaboration sur la résistance aux antimicrobiens</w:t>
      </w:r>
    </w:p>
    <w:p w:rsidR="00076158" w:rsidRDefault="00076158" w:rsidP="00DA2419">
      <w:pPr>
        <w:pStyle w:val="Paragraphedeliste"/>
        <w:numPr>
          <w:ilvl w:val="0"/>
          <w:numId w:val="3"/>
        </w:numPr>
        <w:spacing w:line="276" w:lineRule="auto"/>
        <w:jc w:val="both"/>
        <w:rPr>
          <w:rFonts w:cstheme="minorHAnsi"/>
          <w:color w:val="222A35" w:themeColor="text2" w:themeShade="80"/>
          <w:sz w:val="24"/>
          <w:szCs w:val="24"/>
          <w:lang w:val="fr-FR"/>
        </w:rPr>
      </w:pPr>
      <w:r>
        <w:rPr>
          <w:rFonts w:cstheme="minorHAnsi"/>
          <w:color w:val="222A35" w:themeColor="text2" w:themeShade="80"/>
          <w:sz w:val="24"/>
          <w:szCs w:val="24"/>
          <w:lang w:val="fr-FR"/>
        </w:rPr>
        <w:t>Présenter les plans d’action nationaux de lutte contre la RAM des pays de la région</w:t>
      </w:r>
    </w:p>
    <w:p w:rsidR="00D04EF5" w:rsidRPr="0029611F" w:rsidRDefault="00076158" w:rsidP="00076158">
      <w:pPr>
        <w:pStyle w:val="Paragraphedeliste"/>
        <w:numPr>
          <w:ilvl w:val="0"/>
          <w:numId w:val="3"/>
        </w:numPr>
        <w:spacing w:line="276" w:lineRule="auto"/>
        <w:jc w:val="both"/>
        <w:rPr>
          <w:rFonts w:cstheme="minorHAnsi"/>
          <w:color w:val="222A35" w:themeColor="text2" w:themeShade="80"/>
          <w:sz w:val="24"/>
          <w:szCs w:val="24"/>
          <w:lang w:val="fr-FR"/>
        </w:rPr>
      </w:pPr>
      <w:r>
        <w:rPr>
          <w:rFonts w:cstheme="minorHAnsi"/>
          <w:color w:val="222A35" w:themeColor="text2" w:themeShade="80"/>
          <w:sz w:val="24"/>
          <w:szCs w:val="24"/>
          <w:lang w:val="fr-FR"/>
        </w:rPr>
        <w:t xml:space="preserve">Présenter le fond fiduciaire multipartenaire AMR </w:t>
      </w:r>
    </w:p>
    <w:p w:rsidR="00076158" w:rsidRDefault="00076158" w:rsidP="00076158">
      <w:pPr>
        <w:pStyle w:val="Paragraphedeliste"/>
        <w:numPr>
          <w:ilvl w:val="0"/>
          <w:numId w:val="3"/>
        </w:numPr>
        <w:spacing w:line="276" w:lineRule="auto"/>
        <w:jc w:val="both"/>
        <w:rPr>
          <w:rFonts w:cstheme="minorHAnsi"/>
          <w:color w:val="222A35" w:themeColor="text2" w:themeShade="80"/>
          <w:sz w:val="24"/>
          <w:szCs w:val="24"/>
          <w:lang w:val="fr-FR"/>
        </w:rPr>
      </w:pPr>
      <w:r w:rsidRPr="0029611F">
        <w:rPr>
          <w:rFonts w:cstheme="minorHAnsi"/>
          <w:color w:val="222A35" w:themeColor="text2" w:themeShade="80"/>
          <w:sz w:val="24"/>
          <w:szCs w:val="24"/>
          <w:lang w:val="fr-FR"/>
        </w:rPr>
        <w:t xml:space="preserve">Partager l’expérience </w:t>
      </w:r>
      <w:r>
        <w:rPr>
          <w:rFonts w:cstheme="minorHAnsi"/>
          <w:color w:val="222A35" w:themeColor="text2" w:themeShade="80"/>
          <w:sz w:val="24"/>
          <w:szCs w:val="24"/>
          <w:lang w:val="fr-FR"/>
        </w:rPr>
        <w:t>du Maroc et de la Tunisie dans le cadre du projet AMR MPTF</w:t>
      </w:r>
      <w:r w:rsidRPr="0029611F">
        <w:rPr>
          <w:rFonts w:cstheme="minorHAnsi"/>
          <w:color w:val="222A35" w:themeColor="text2" w:themeShade="80"/>
          <w:sz w:val="24"/>
          <w:szCs w:val="24"/>
          <w:lang w:val="fr-FR"/>
        </w:rPr>
        <w:t xml:space="preserve"> </w:t>
      </w:r>
    </w:p>
    <w:p w:rsidR="00D04EF5" w:rsidRPr="0029611F" w:rsidRDefault="00D04EF5" w:rsidP="00D04EF5">
      <w:pPr>
        <w:pStyle w:val="Paragraphedeliste"/>
        <w:numPr>
          <w:ilvl w:val="0"/>
          <w:numId w:val="3"/>
        </w:numPr>
        <w:spacing w:line="276" w:lineRule="auto"/>
        <w:jc w:val="both"/>
        <w:rPr>
          <w:rFonts w:cstheme="minorHAnsi"/>
          <w:color w:val="222A35" w:themeColor="text2" w:themeShade="80"/>
          <w:sz w:val="24"/>
          <w:szCs w:val="24"/>
          <w:lang w:val="fr-FR"/>
        </w:rPr>
      </w:pPr>
      <w:r w:rsidRPr="0029611F">
        <w:rPr>
          <w:rFonts w:cstheme="minorHAnsi"/>
          <w:color w:val="222A35" w:themeColor="text2" w:themeShade="80"/>
          <w:sz w:val="24"/>
          <w:szCs w:val="24"/>
          <w:lang w:val="fr-FR"/>
        </w:rPr>
        <w:t xml:space="preserve">Discuter </w:t>
      </w:r>
      <w:r w:rsidR="00F574D5" w:rsidRPr="0029611F">
        <w:rPr>
          <w:rFonts w:cstheme="minorHAnsi"/>
          <w:color w:val="222A35" w:themeColor="text2" w:themeShade="80"/>
          <w:sz w:val="24"/>
          <w:szCs w:val="24"/>
          <w:lang w:val="fr-FR"/>
        </w:rPr>
        <w:t>les meilleurs m</w:t>
      </w:r>
      <w:r w:rsidRPr="0029611F">
        <w:rPr>
          <w:rFonts w:cstheme="minorHAnsi"/>
          <w:color w:val="222A35" w:themeColor="text2" w:themeShade="80"/>
          <w:sz w:val="24"/>
          <w:szCs w:val="24"/>
          <w:lang w:val="fr-FR"/>
        </w:rPr>
        <w:t>oyens de prévention et de lutte</w:t>
      </w:r>
    </w:p>
    <w:p w:rsidR="53700C7A" w:rsidRPr="0029611F" w:rsidRDefault="53700C7A" w:rsidP="52804C7A">
      <w:pPr>
        <w:spacing w:line="276" w:lineRule="auto"/>
        <w:rPr>
          <w:rFonts w:cstheme="minorHAnsi"/>
          <w:b/>
          <w:bCs/>
          <w:color w:val="5B9BD5" w:themeColor="accent1"/>
          <w:sz w:val="24"/>
          <w:szCs w:val="24"/>
          <w:lang w:val="fr-FR"/>
        </w:rPr>
      </w:pPr>
      <w:r w:rsidRPr="0029611F">
        <w:rPr>
          <w:rFonts w:cstheme="minorHAnsi"/>
          <w:b/>
          <w:bCs/>
          <w:color w:val="5B9BD5" w:themeColor="accent1"/>
          <w:sz w:val="24"/>
          <w:szCs w:val="24"/>
          <w:lang w:val="fr-FR"/>
        </w:rPr>
        <w:t xml:space="preserve">Lieu et date </w:t>
      </w:r>
    </w:p>
    <w:p w:rsidR="53700C7A" w:rsidRPr="0029611F" w:rsidRDefault="00C11E3B" w:rsidP="00076158">
      <w:pPr>
        <w:spacing w:line="276" w:lineRule="auto"/>
        <w:rPr>
          <w:rFonts w:cstheme="minorHAnsi"/>
          <w:b/>
          <w:bCs/>
          <w:color w:val="222A35" w:themeColor="text2" w:themeShade="80"/>
          <w:sz w:val="24"/>
          <w:szCs w:val="24"/>
          <w:lang w:val="fr-FR"/>
        </w:rPr>
      </w:pPr>
      <w:r>
        <w:rPr>
          <w:rFonts w:cstheme="minorHAnsi"/>
          <w:color w:val="222A35" w:themeColor="text2" w:themeShade="80"/>
          <w:sz w:val="24"/>
          <w:szCs w:val="24"/>
          <w:lang w:val="fr-FR"/>
        </w:rPr>
        <w:t>Mar</w:t>
      </w:r>
      <w:r w:rsidR="0029611F" w:rsidRPr="0029611F">
        <w:rPr>
          <w:rFonts w:cstheme="minorHAnsi"/>
          <w:color w:val="222A35" w:themeColor="text2" w:themeShade="80"/>
          <w:sz w:val="24"/>
          <w:szCs w:val="24"/>
          <w:lang w:val="fr-FR"/>
        </w:rPr>
        <w:t xml:space="preserve">di </w:t>
      </w:r>
      <w:r w:rsidR="00076158">
        <w:rPr>
          <w:rFonts w:cstheme="minorHAnsi"/>
          <w:color w:val="222A35" w:themeColor="text2" w:themeShade="80"/>
          <w:sz w:val="24"/>
          <w:szCs w:val="24"/>
          <w:lang w:val="fr-FR"/>
        </w:rPr>
        <w:t>6 Décembre</w:t>
      </w:r>
      <w:r w:rsidR="53700C7A" w:rsidRPr="0029611F">
        <w:rPr>
          <w:rFonts w:cstheme="minorHAnsi"/>
          <w:color w:val="222A35" w:themeColor="text2" w:themeShade="80"/>
          <w:sz w:val="24"/>
          <w:szCs w:val="24"/>
          <w:lang w:val="fr-FR"/>
        </w:rPr>
        <w:t xml:space="preserve"> </w:t>
      </w:r>
      <w:r w:rsidR="3E0A45D3" w:rsidRPr="0029611F">
        <w:rPr>
          <w:rFonts w:cstheme="minorHAnsi"/>
          <w:color w:val="222A35" w:themeColor="text2" w:themeShade="80"/>
          <w:sz w:val="24"/>
          <w:szCs w:val="24"/>
          <w:lang w:val="fr-FR"/>
        </w:rPr>
        <w:t>2022 en</w:t>
      </w:r>
      <w:r w:rsidR="53700C7A" w:rsidRPr="0029611F">
        <w:rPr>
          <w:rFonts w:cstheme="minorHAnsi"/>
          <w:color w:val="222A35" w:themeColor="text2" w:themeShade="80"/>
          <w:sz w:val="24"/>
          <w:szCs w:val="24"/>
          <w:lang w:val="fr-FR"/>
        </w:rPr>
        <w:t xml:space="preserve"> ligne</w:t>
      </w:r>
      <w:r w:rsidR="00D04EF5" w:rsidRPr="0029611F">
        <w:rPr>
          <w:rFonts w:cstheme="minorHAnsi"/>
          <w:color w:val="222A35" w:themeColor="text2" w:themeShade="80"/>
          <w:sz w:val="24"/>
          <w:szCs w:val="24"/>
          <w:lang w:val="fr-FR"/>
        </w:rPr>
        <w:t xml:space="preserve"> (ZOOM)</w:t>
      </w:r>
      <w:r w:rsidR="53700C7A" w:rsidRPr="0029611F">
        <w:rPr>
          <w:rFonts w:cstheme="minorHAnsi"/>
          <w:color w:val="222A35" w:themeColor="text2" w:themeShade="80"/>
          <w:sz w:val="24"/>
          <w:szCs w:val="24"/>
          <w:lang w:val="fr-FR"/>
        </w:rPr>
        <w:t xml:space="preserve">. </w:t>
      </w:r>
    </w:p>
    <w:p w:rsidR="53700C7A" w:rsidRPr="0029611F" w:rsidRDefault="53700C7A" w:rsidP="52804C7A">
      <w:pPr>
        <w:spacing w:line="276" w:lineRule="auto"/>
        <w:rPr>
          <w:rFonts w:cstheme="minorHAnsi"/>
          <w:b/>
          <w:bCs/>
          <w:color w:val="5B9BD5" w:themeColor="accent1"/>
          <w:sz w:val="24"/>
          <w:szCs w:val="24"/>
          <w:lang w:val="fr-FR"/>
        </w:rPr>
      </w:pPr>
      <w:r w:rsidRPr="0029611F">
        <w:rPr>
          <w:rFonts w:cstheme="minorHAnsi"/>
          <w:b/>
          <w:bCs/>
          <w:color w:val="5B9BD5" w:themeColor="accent1"/>
          <w:sz w:val="24"/>
          <w:szCs w:val="24"/>
          <w:lang w:val="fr-FR"/>
        </w:rPr>
        <w:t>Langue</w:t>
      </w:r>
    </w:p>
    <w:p w:rsidR="53700C7A" w:rsidRPr="0029611F" w:rsidRDefault="53700C7A" w:rsidP="52804C7A">
      <w:pPr>
        <w:spacing w:line="276" w:lineRule="auto"/>
        <w:rPr>
          <w:rFonts w:cstheme="minorHAnsi"/>
          <w:b/>
          <w:bCs/>
          <w:color w:val="5B9BD5" w:themeColor="accent1"/>
          <w:sz w:val="24"/>
          <w:szCs w:val="24"/>
          <w:lang w:val="fr-FR"/>
        </w:rPr>
      </w:pPr>
      <w:r w:rsidRPr="0029611F">
        <w:rPr>
          <w:rFonts w:cstheme="minorHAnsi"/>
          <w:color w:val="222A35" w:themeColor="text2" w:themeShade="80"/>
          <w:sz w:val="24"/>
          <w:szCs w:val="24"/>
          <w:lang w:val="fr-FR"/>
        </w:rPr>
        <w:t>Une traduction simultanée en français, anglais est disponible</w:t>
      </w:r>
      <w:r w:rsidRPr="0029611F">
        <w:rPr>
          <w:rFonts w:cstheme="minorHAnsi"/>
          <w:b/>
          <w:bCs/>
          <w:color w:val="5B9BD5" w:themeColor="accent1"/>
          <w:sz w:val="24"/>
          <w:szCs w:val="24"/>
          <w:lang w:val="fr-FR"/>
        </w:rPr>
        <w:t xml:space="preserve"> </w:t>
      </w:r>
    </w:p>
    <w:p w:rsidR="00DE0CC3" w:rsidRPr="0029611F" w:rsidRDefault="00DE0CC3" w:rsidP="00DE0CC3">
      <w:pPr>
        <w:spacing w:line="276" w:lineRule="auto"/>
        <w:rPr>
          <w:rFonts w:cstheme="minorHAnsi"/>
          <w:b/>
          <w:bCs/>
          <w:color w:val="5B9BD5" w:themeColor="accent1"/>
          <w:sz w:val="24"/>
          <w:szCs w:val="24"/>
          <w:lang w:val="fr-FR"/>
        </w:rPr>
      </w:pPr>
      <w:r w:rsidRPr="0029611F">
        <w:rPr>
          <w:rFonts w:cstheme="minorHAnsi"/>
          <w:b/>
          <w:bCs/>
          <w:color w:val="5B9BD5" w:themeColor="accent1"/>
          <w:sz w:val="24"/>
          <w:szCs w:val="24"/>
          <w:lang w:val="fr-FR"/>
        </w:rPr>
        <w:t>Personnes cibles</w:t>
      </w:r>
    </w:p>
    <w:p w:rsidR="007813B3" w:rsidRPr="0029611F" w:rsidRDefault="0029611F" w:rsidP="00076158">
      <w:pPr>
        <w:spacing w:line="276" w:lineRule="auto"/>
        <w:jc w:val="both"/>
        <w:rPr>
          <w:rFonts w:cstheme="minorHAnsi"/>
          <w:color w:val="222A35" w:themeColor="text2" w:themeShade="80"/>
          <w:sz w:val="24"/>
          <w:szCs w:val="24"/>
          <w:lang w:val="fr-FR"/>
        </w:rPr>
      </w:pPr>
      <w:r w:rsidRPr="0029611F">
        <w:rPr>
          <w:rFonts w:cstheme="minorHAnsi"/>
          <w:color w:val="222A35" w:themeColor="text2" w:themeShade="80"/>
          <w:sz w:val="24"/>
          <w:szCs w:val="24"/>
          <w:lang w:val="fr-FR"/>
        </w:rPr>
        <w:t>Vétérinaires</w:t>
      </w:r>
      <w:r w:rsidR="00076158">
        <w:rPr>
          <w:rFonts w:cstheme="minorHAnsi"/>
          <w:color w:val="222A35" w:themeColor="text2" w:themeShade="80"/>
          <w:sz w:val="24"/>
          <w:szCs w:val="24"/>
          <w:lang w:val="fr-FR"/>
        </w:rPr>
        <w:t>, médecins, pharmaciens, ingénieurs et professionnels qui travaillent dans le secteur de la RAM</w:t>
      </w:r>
      <w:r w:rsidRPr="0029611F">
        <w:rPr>
          <w:rFonts w:cstheme="minorHAnsi"/>
          <w:color w:val="222A35" w:themeColor="text2" w:themeShade="80"/>
          <w:sz w:val="24"/>
          <w:szCs w:val="24"/>
          <w:lang w:val="fr-FR"/>
        </w:rPr>
        <w:t xml:space="preserve">, </w:t>
      </w:r>
      <w:r w:rsidR="008D1416" w:rsidRPr="0029611F">
        <w:rPr>
          <w:rFonts w:cstheme="minorHAnsi"/>
          <w:color w:val="222A35" w:themeColor="text2" w:themeShade="80"/>
          <w:sz w:val="24"/>
          <w:szCs w:val="24"/>
          <w:lang w:val="fr-FR"/>
        </w:rPr>
        <w:t>épidémiologistes ;</w:t>
      </w:r>
      <w:r w:rsidR="007813B3" w:rsidRPr="0029611F">
        <w:rPr>
          <w:rFonts w:cstheme="minorHAnsi"/>
          <w:color w:val="222A35" w:themeColor="text2" w:themeShade="80"/>
          <w:sz w:val="24"/>
          <w:szCs w:val="24"/>
          <w:lang w:val="fr-FR"/>
        </w:rPr>
        <w:t xml:space="preserve"> responsables de laboratoire, </w:t>
      </w:r>
      <w:r w:rsidR="00076158">
        <w:rPr>
          <w:rFonts w:cstheme="minorHAnsi"/>
          <w:color w:val="222A35" w:themeColor="text2" w:themeShade="80"/>
          <w:sz w:val="24"/>
          <w:szCs w:val="24"/>
          <w:lang w:val="fr-FR"/>
        </w:rPr>
        <w:t>secteur privé impliqué dans la RAM</w:t>
      </w:r>
      <w:r w:rsidRPr="0029611F">
        <w:rPr>
          <w:rFonts w:cstheme="minorHAnsi"/>
          <w:color w:val="222A35" w:themeColor="text2" w:themeShade="80"/>
          <w:sz w:val="24"/>
          <w:szCs w:val="24"/>
          <w:lang w:val="fr-FR"/>
        </w:rPr>
        <w:t>, écoles et institutions</w:t>
      </w:r>
      <w:r w:rsidR="00076158">
        <w:rPr>
          <w:rFonts w:cstheme="minorHAnsi"/>
          <w:color w:val="222A35" w:themeColor="text2" w:themeShade="80"/>
          <w:sz w:val="24"/>
          <w:szCs w:val="24"/>
          <w:lang w:val="fr-FR"/>
        </w:rPr>
        <w:t xml:space="preserve"> de recherche sur la RAM</w:t>
      </w:r>
      <w:r w:rsidRPr="0029611F">
        <w:rPr>
          <w:rFonts w:cstheme="minorHAnsi"/>
          <w:color w:val="222A35" w:themeColor="text2" w:themeShade="80"/>
          <w:sz w:val="24"/>
          <w:szCs w:val="24"/>
          <w:lang w:val="fr-FR"/>
        </w:rPr>
        <w:t>,</w:t>
      </w:r>
    </w:p>
    <w:p w:rsidR="00D04EF5" w:rsidRPr="0029611F" w:rsidRDefault="00D04EF5" w:rsidP="007813B3">
      <w:pPr>
        <w:spacing w:line="276" w:lineRule="auto"/>
        <w:jc w:val="both"/>
        <w:rPr>
          <w:rFonts w:cstheme="minorHAnsi"/>
          <w:b/>
          <w:bCs/>
          <w:color w:val="5B9BD5" w:themeColor="accent1"/>
          <w:sz w:val="24"/>
          <w:szCs w:val="24"/>
          <w:lang w:val="fr-FR"/>
        </w:rPr>
      </w:pPr>
      <w:r w:rsidRPr="0029611F">
        <w:rPr>
          <w:rFonts w:cstheme="minorHAnsi"/>
          <w:b/>
          <w:bCs/>
          <w:color w:val="5B9BD5" w:themeColor="accent1"/>
          <w:sz w:val="24"/>
          <w:szCs w:val="24"/>
          <w:lang w:val="fr-FR"/>
        </w:rPr>
        <w:t>Pays cibles</w:t>
      </w:r>
    </w:p>
    <w:p w:rsidR="00D04EF5" w:rsidRPr="0029611F" w:rsidRDefault="00876D04" w:rsidP="00DE0CC3">
      <w:pPr>
        <w:spacing w:line="276" w:lineRule="auto"/>
        <w:jc w:val="both"/>
        <w:rPr>
          <w:rFonts w:cstheme="minorHAnsi"/>
          <w:color w:val="222A35" w:themeColor="text2" w:themeShade="80"/>
          <w:sz w:val="24"/>
          <w:szCs w:val="24"/>
          <w:lang w:val="fr-FR"/>
        </w:rPr>
      </w:pPr>
      <w:r>
        <w:rPr>
          <w:rFonts w:cstheme="minorHAnsi"/>
          <w:color w:val="222A35" w:themeColor="text2" w:themeShade="80"/>
          <w:sz w:val="24"/>
          <w:szCs w:val="24"/>
          <w:lang w:val="fr-FR"/>
        </w:rPr>
        <w:t xml:space="preserve">Mauritanie, Maroc, </w:t>
      </w:r>
      <w:r w:rsidR="008D1416" w:rsidRPr="0029611F">
        <w:rPr>
          <w:rFonts w:cstheme="minorHAnsi"/>
          <w:color w:val="222A35" w:themeColor="text2" w:themeShade="80"/>
          <w:sz w:val="24"/>
          <w:szCs w:val="24"/>
          <w:lang w:val="fr-FR"/>
        </w:rPr>
        <w:t xml:space="preserve">Algérie, </w:t>
      </w:r>
      <w:r>
        <w:rPr>
          <w:rFonts w:cstheme="minorHAnsi"/>
          <w:color w:val="222A35" w:themeColor="text2" w:themeShade="80"/>
          <w:sz w:val="24"/>
          <w:szCs w:val="24"/>
          <w:lang w:val="fr-FR"/>
        </w:rPr>
        <w:t>Tunisie</w:t>
      </w:r>
      <w:r w:rsidR="008D1416" w:rsidRPr="008D1416">
        <w:rPr>
          <w:rFonts w:cstheme="minorHAnsi"/>
          <w:color w:val="222A35" w:themeColor="text2" w:themeShade="80"/>
          <w:sz w:val="24"/>
          <w:szCs w:val="24"/>
          <w:lang w:val="fr-FR"/>
        </w:rPr>
        <w:t xml:space="preserve"> </w:t>
      </w:r>
      <w:r w:rsidR="008D1416">
        <w:rPr>
          <w:rFonts w:cstheme="minorHAnsi"/>
          <w:color w:val="222A35" w:themeColor="text2" w:themeShade="80"/>
          <w:sz w:val="24"/>
          <w:szCs w:val="24"/>
          <w:lang w:val="fr-FR"/>
        </w:rPr>
        <w:t xml:space="preserve">et </w:t>
      </w:r>
      <w:r w:rsidR="008D1416" w:rsidRPr="0029611F">
        <w:rPr>
          <w:rFonts w:cstheme="minorHAnsi"/>
          <w:color w:val="222A35" w:themeColor="text2" w:themeShade="80"/>
          <w:sz w:val="24"/>
          <w:szCs w:val="24"/>
          <w:lang w:val="fr-FR"/>
        </w:rPr>
        <w:t>Li</w:t>
      </w:r>
      <w:r w:rsidR="008D1416">
        <w:rPr>
          <w:rFonts w:cstheme="minorHAnsi"/>
          <w:color w:val="222A35" w:themeColor="text2" w:themeShade="80"/>
          <w:sz w:val="24"/>
          <w:szCs w:val="24"/>
          <w:lang w:val="fr-FR"/>
        </w:rPr>
        <w:t>bye</w:t>
      </w:r>
    </w:p>
    <w:p w:rsidR="00DE0CC3" w:rsidRPr="0029611F" w:rsidRDefault="00DE0CC3" w:rsidP="00DE0CC3">
      <w:pPr>
        <w:spacing w:line="276" w:lineRule="auto"/>
        <w:rPr>
          <w:rFonts w:cstheme="minorHAnsi"/>
          <w:b/>
          <w:bCs/>
          <w:color w:val="5B9BD5" w:themeColor="accent1"/>
          <w:sz w:val="24"/>
          <w:szCs w:val="24"/>
          <w:lang w:val="fr-FR"/>
        </w:rPr>
      </w:pPr>
      <w:r w:rsidRPr="0029611F">
        <w:rPr>
          <w:rFonts w:cstheme="minorHAnsi"/>
          <w:b/>
          <w:bCs/>
          <w:color w:val="5B9BD5" w:themeColor="accent1"/>
          <w:sz w:val="24"/>
          <w:szCs w:val="24"/>
          <w:lang w:val="fr-FR"/>
        </w:rPr>
        <w:t xml:space="preserve">Personnes ressources : </w:t>
      </w:r>
    </w:p>
    <w:p w:rsidR="00DE0CC3" w:rsidRDefault="00DE0CC3" w:rsidP="00076158">
      <w:pPr>
        <w:spacing w:line="276" w:lineRule="auto"/>
        <w:jc w:val="both"/>
        <w:rPr>
          <w:rFonts w:cstheme="minorHAnsi"/>
          <w:color w:val="222A35" w:themeColor="text2" w:themeShade="80"/>
          <w:sz w:val="24"/>
          <w:szCs w:val="24"/>
          <w:lang w:val="fr-FR"/>
        </w:rPr>
      </w:pPr>
      <w:r w:rsidRPr="0029611F">
        <w:rPr>
          <w:rFonts w:cstheme="minorHAnsi"/>
          <w:color w:val="222A35" w:themeColor="text2" w:themeShade="80"/>
          <w:sz w:val="24"/>
          <w:szCs w:val="24"/>
          <w:lang w:val="fr-FR"/>
        </w:rPr>
        <w:t xml:space="preserve">Experts </w:t>
      </w:r>
      <w:r w:rsidR="008D1416">
        <w:rPr>
          <w:rFonts w:cstheme="minorHAnsi"/>
          <w:color w:val="222A35" w:themeColor="text2" w:themeShade="80"/>
          <w:sz w:val="24"/>
          <w:szCs w:val="24"/>
          <w:lang w:val="fr-FR"/>
        </w:rPr>
        <w:t xml:space="preserve">nationaux et </w:t>
      </w:r>
      <w:r w:rsidRPr="0029611F">
        <w:rPr>
          <w:rFonts w:cstheme="minorHAnsi"/>
          <w:color w:val="222A35" w:themeColor="text2" w:themeShade="80"/>
          <w:sz w:val="24"/>
          <w:szCs w:val="24"/>
          <w:lang w:val="fr-FR"/>
        </w:rPr>
        <w:t xml:space="preserve">internationaux (FAO, </w:t>
      </w:r>
      <w:r w:rsidR="008D1416">
        <w:rPr>
          <w:rFonts w:cstheme="minorHAnsi"/>
          <w:color w:val="222A35" w:themeColor="text2" w:themeShade="80"/>
          <w:sz w:val="24"/>
          <w:szCs w:val="24"/>
          <w:lang w:val="fr-FR"/>
        </w:rPr>
        <w:t>OMSA</w:t>
      </w:r>
      <w:r w:rsidR="007813B3" w:rsidRPr="0029611F">
        <w:rPr>
          <w:rFonts w:cstheme="minorHAnsi"/>
          <w:color w:val="222A35" w:themeColor="text2" w:themeShade="80"/>
          <w:sz w:val="24"/>
          <w:szCs w:val="24"/>
          <w:lang w:val="fr-FR"/>
        </w:rPr>
        <w:t xml:space="preserve">, </w:t>
      </w:r>
      <w:r w:rsidR="00076158">
        <w:rPr>
          <w:rFonts w:cstheme="minorHAnsi"/>
          <w:color w:val="222A35" w:themeColor="text2" w:themeShade="80"/>
          <w:sz w:val="24"/>
          <w:szCs w:val="24"/>
          <w:lang w:val="fr-FR"/>
        </w:rPr>
        <w:t>OMS, UNEP, pays</w:t>
      </w:r>
      <w:r w:rsidR="00DB0506" w:rsidRPr="0029611F">
        <w:rPr>
          <w:rFonts w:cstheme="minorHAnsi"/>
          <w:color w:val="222A35" w:themeColor="text2" w:themeShade="80"/>
          <w:sz w:val="24"/>
          <w:szCs w:val="24"/>
          <w:lang w:val="fr-FR"/>
        </w:rPr>
        <w:t>)</w:t>
      </w:r>
      <w:r w:rsidRPr="0029611F">
        <w:rPr>
          <w:rFonts w:cstheme="minorHAnsi"/>
          <w:color w:val="222A35" w:themeColor="text2" w:themeShade="80"/>
          <w:sz w:val="24"/>
          <w:szCs w:val="24"/>
          <w:lang w:val="fr-FR"/>
        </w:rPr>
        <w:t xml:space="preserve"> </w:t>
      </w:r>
    </w:p>
    <w:p w:rsidR="00B50D2A" w:rsidRDefault="00B50D2A" w:rsidP="00076158">
      <w:pPr>
        <w:spacing w:line="276" w:lineRule="auto"/>
        <w:jc w:val="both"/>
        <w:rPr>
          <w:rFonts w:cstheme="minorHAnsi"/>
          <w:color w:val="222A35" w:themeColor="text2" w:themeShade="80"/>
          <w:sz w:val="24"/>
          <w:szCs w:val="24"/>
          <w:lang w:val="fr-FR"/>
        </w:rPr>
      </w:pPr>
    </w:p>
    <w:p w:rsidR="00B50D2A" w:rsidRDefault="00B50D2A" w:rsidP="00076158">
      <w:pPr>
        <w:spacing w:line="276" w:lineRule="auto"/>
        <w:jc w:val="both"/>
        <w:rPr>
          <w:rFonts w:cstheme="minorHAnsi"/>
          <w:color w:val="222A35" w:themeColor="text2" w:themeShade="80"/>
          <w:sz w:val="24"/>
          <w:szCs w:val="24"/>
          <w:lang w:val="fr-FR"/>
        </w:rPr>
      </w:pPr>
    </w:p>
    <w:p w:rsidR="00B50D2A" w:rsidRDefault="00B50D2A" w:rsidP="00076158">
      <w:pPr>
        <w:spacing w:line="276" w:lineRule="auto"/>
        <w:jc w:val="both"/>
        <w:rPr>
          <w:rFonts w:cstheme="minorHAnsi"/>
          <w:color w:val="222A35" w:themeColor="text2" w:themeShade="80"/>
          <w:sz w:val="24"/>
          <w:szCs w:val="24"/>
          <w:lang w:val="fr-FR"/>
        </w:rPr>
      </w:pPr>
    </w:p>
    <w:p w:rsidR="00B50D2A" w:rsidRDefault="00B50D2A" w:rsidP="00076158">
      <w:pPr>
        <w:spacing w:line="276" w:lineRule="auto"/>
        <w:jc w:val="both"/>
        <w:rPr>
          <w:rFonts w:cstheme="minorHAnsi"/>
          <w:color w:val="222A35" w:themeColor="text2" w:themeShade="80"/>
          <w:sz w:val="24"/>
          <w:szCs w:val="24"/>
          <w:lang w:val="fr-FR"/>
        </w:rPr>
      </w:pPr>
    </w:p>
    <w:p w:rsidR="00B50D2A" w:rsidRDefault="00B50D2A" w:rsidP="00076158">
      <w:pPr>
        <w:spacing w:line="276" w:lineRule="auto"/>
        <w:jc w:val="both"/>
        <w:rPr>
          <w:rFonts w:cstheme="minorHAnsi"/>
          <w:color w:val="222A35" w:themeColor="text2" w:themeShade="80"/>
          <w:sz w:val="24"/>
          <w:szCs w:val="24"/>
          <w:lang w:val="fr-FR"/>
        </w:rPr>
      </w:pPr>
    </w:p>
    <w:p w:rsidR="00B50D2A" w:rsidRDefault="00B50D2A" w:rsidP="00076158">
      <w:pPr>
        <w:spacing w:line="276" w:lineRule="auto"/>
        <w:jc w:val="both"/>
        <w:rPr>
          <w:rFonts w:cstheme="minorHAnsi"/>
          <w:color w:val="222A35" w:themeColor="text2" w:themeShade="80"/>
          <w:sz w:val="24"/>
          <w:szCs w:val="24"/>
          <w:lang w:val="fr-FR"/>
        </w:rPr>
      </w:pPr>
    </w:p>
    <w:p w:rsidR="00B50D2A" w:rsidRDefault="00B50D2A" w:rsidP="00076158">
      <w:pPr>
        <w:spacing w:line="276" w:lineRule="auto"/>
        <w:jc w:val="both"/>
        <w:rPr>
          <w:rFonts w:cstheme="minorHAnsi"/>
          <w:color w:val="222A35" w:themeColor="text2" w:themeShade="80"/>
          <w:sz w:val="24"/>
          <w:szCs w:val="24"/>
          <w:lang w:val="fr-FR"/>
        </w:rPr>
      </w:pPr>
    </w:p>
    <w:p w:rsidR="00B50D2A" w:rsidRDefault="00B50D2A" w:rsidP="00076158">
      <w:pPr>
        <w:spacing w:line="276" w:lineRule="auto"/>
        <w:jc w:val="both"/>
        <w:rPr>
          <w:rFonts w:cstheme="minorHAnsi"/>
          <w:color w:val="222A35" w:themeColor="text2" w:themeShade="80"/>
          <w:sz w:val="24"/>
          <w:szCs w:val="24"/>
          <w:lang w:val="fr-FR"/>
        </w:rPr>
      </w:pPr>
    </w:p>
    <w:p w:rsidR="00B50D2A" w:rsidRDefault="00B50D2A" w:rsidP="00076158">
      <w:pPr>
        <w:spacing w:line="276" w:lineRule="auto"/>
        <w:jc w:val="both"/>
        <w:rPr>
          <w:rFonts w:cstheme="minorHAnsi"/>
          <w:color w:val="222A35" w:themeColor="text2" w:themeShade="80"/>
          <w:sz w:val="24"/>
          <w:szCs w:val="24"/>
          <w:lang w:val="fr-FR"/>
        </w:rPr>
      </w:pPr>
    </w:p>
    <w:p w:rsidR="009C6C21" w:rsidRPr="0029611F" w:rsidRDefault="0F967B7D" w:rsidP="52804C7A">
      <w:pPr>
        <w:spacing w:line="276" w:lineRule="auto"/>
        <w:rPr>
          <w:rFonts w:cstheme="minorHAnsi"/>
          <w:b/>
          <w:bCs/>
          <w:color w:val="5B9BD5" w:themeColor="accent1"/>
          <w:sz w:val="24"/>
          <w:szCs w:val="24"/>
          <w:lang w:val="fr-FR"/>
        </w:rPr>
      </w:pPr>
      <w:r w:rsidRPr="0029611F">
        <w:rPr>
          <w:rFonts w:cstheme="minorHAnsi"/>
          <w:b/>
          <w:bCs/>
          <w:color w:val="5B9BD5" w:themeColor="accent1"/>
          <w:sz w:val="24"/>
          <w:szCs w:val="24"/>
          <w:lang w:val="fr-FR"/>
        </w:rPr>
        <w:t>Agenda</w:t>
      </w:r>
      <w:r w:rsidR="01FDFA24" w:rsidRPr="0029611F">
        <w:rPr>
          <w:rFonts w:cstheme="minorHAnsi"/>
          <w:b/>
          <w:bCs/>
          <w:color w:val="5B9BD5" w:themeColor="accent1"/>
          <w:sz w:val="24"/>
          <w:szCs w:val="24"/>
          <w:lang w:val="fr-FR"/>
        </w:rPr>
        <w:t xml:space="preserve"> provisoire</w:t>
      </w:r>
      <w:r w:rsidR="31110099" w:rsidRPr="0029611F">
        <w:rPr>
          <w:rFonts w:cstheme="minorHAnsi"/>
          <w:b/>
          <w:bCs/>
          <w:color w:val="5B9BD5" w:themeColor="accent1"/>
          <w:sz w:val="24"/>
          <w:szCs w:val="24"/>
          <w:lang w:val="fr-FR"/>
        </w:rPr>
        <w:t xml:space="preserve"> : </w:t>
      </w:r>
    </w:p>
    <w:tbl>
      <w:tblPr>
        <w:tblStyle w:val="TableauGrille2-Accentuation5"/>
        <w:tblW w:w="0" w:type="auto"/>
        <w:tblLayout w:type="fixed"/>
        <w:tblLook w:val="04A0" w:firstRow="1" w:lastRow="0" w:firstColumn="1" w:lastColumn="0" w:noHBand="0" w:noVBand="1"/>
      </w:tblPr>
      <w:tblGrid>
        <w:gridCol w:w="1605"/>
        <w:gridCol w:w="5341"/>
        <w:gridCol w:w="2552"/>
      </w:tblGrid>
      <w:tr w:rsidR="00B50D2A" w:rsidTr="00B50D2A">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498" w:type="dxa"/>
            <w:gridSpan w:val="3"/>
            <w:tcBorders>
              <w:left w:val="nil"/>
              <w:right w:val="nil"/>
            </w:tcBorders>
          </w:tcPr>
          <w:p w:rsidR="00B50D2A" w:rsidRDefault="00B50D2A">
            <w:pPr>
              <w:spacing w:line="240" w:lineRule="auto"/>
              <w:rPr>
                <w:rFonts w:eastAsia="Calibri" w:cstheme="minorHAnsi"/>
                <w:color w:val="222A35" w:themeColor="text2" w:themeShade="80"/>
                <w:sz w:val="24"/>
                <w:szCs w:val="24"/>
                <w:lang w:val="fr-FR"/>
              </w:rPr>
            </w:pPr>
          </w:p>
        </w:tc>
      </w:tr>
      <w:tr w:rsidR="00B50D2A" w:rsidTr="00B50D2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605" w:type="dxa"/>
            <w:tcBorders>
              <w:top w:val="single" w:sz="12" w:space="0" w:color="8EAADB" w:themeColor="accent5" w:themeTint="99"/>
              <w:left w:val="nil"/>
              <w:bottom w:val="single" w:sz="8" w:space="0" w:color="8EAADB" w:themeColor="accent5" w:themeTint="99"/>
              <w:right w:val="single" w:sz="8" w:space="0" w:color="8EAADB" w:themeColor="accent5" w:themeTint="99"/>
            </w:tcBorders>
            <w:hideMark/>
          </w:tcPr>
          <w:p w:rsidR="00B50D2A" w:rsidRDefault="00B50D2A">
            <w:pPr>
              <w:jc w:val="center"/>
              <w:rPr>
                <w:rFonts w:cstheme="minorHAnsi"/>
                <w:lang w:val="fr-FR"/>
              </w:rPr>
            </w:pPr>
            <w:r>
              <w:rPr>
                <w:lang w:val="fr-FR"/>
              </w:rPr>
              <w:t>09.00 – 09.30</w:t>
            </w:r>
          </w:p>
        </w:tc>
        <w:tc>
          <w:tcPr>
            <w:tcW w:w="5341" w:type="dxa"/>
            <w:tcBorders>
              <w:top w:val="nil"/>
              <w:left w:val="single" w:sz="8" w:space="0" w:color="8EAADB" w:themeColor="accent5" w:themeTint="99"/>
              <w:bottom w:val="single" w:sz="8" w:space="0" w:color="8EAADB" w:themeColor="accent5" w:themeTint="99"/>
              <w:right w:val="single" w:sz="8" w:space="0" w:color="8EAADB" w:themeColor="accent5" w:themeTint="99"/>
            </w:tcBorders>
            <w:hideMark/>
          </w:tcPr>
          <w:p w:rsidR="00B50D2A" w:rsidRDefault="00B50D2A">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lang w:val="fr-FR"/>
              </w:rPr>
            </w:pPr>
            <w:r>
              <w:rPr>
                <w:lang w:val="fr-FR"/>
              </w:rPr>
              <w:t xml:space="preserve">Ouverture </w:t>
            </w:r>
          </w:p>
        </w:tc>
        <w:tc>
          <w:tcPr>
            <w:tcW w:w="2552" w:type="dxa"/>
            <w:tcBorders>
              <w:top w:val="nil"/>
              <w:left w:val="single" w:sz="8" w:space="0" w:color="8EAADB" w:themeColor="accent5" w:themeTint="99"/>
              <w:bottom w:val="single" w:sz="8" w:space="0" w:color="8EAADB" w:themeColor="accent5" w:themeTint="99"/>
              <w:right w:val="nil"/>
            </w:tcBorders>
            <w:hideMark/>
          </w:tcPr>
          <w:p w:rsidR="00B50D2A" w:rsidRDefault="00B50D2A">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lang w:val="fr-FR"/>
              </w:rPr>
            </w:pPr>
            <w:r>
              <w:rPr>
                <w:lang w:val="fr-FR"/>
              </w:rPr>
              <w:t xml:space="preserve">FAO-WHO-WOAH-UNEP </w:t>
            </w:r>
          </w:p>
        </w:tc>
      </w:tr>
      <w:tr w:rsidR="00B50D2A" w:rsidTr="00B50D2A">
        <w:trPr>
          <w:trHeight w:val="330"/>
        </w:trPr>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8EAADB" w:themeColor="accent5" w:themeTint="99"/>
              <w:left w:val="nil"/>
              <w:bottom w:val="single" w:sz="8" w:space="0" w:color="8EAADB" w:themeColor="accent5" w:themeTint="99"/>
              <w:right w:val="single" w:sz="8" w:space="0" w:color="8EAADB" w:themeColor="accent5" w:themeTint="99"/>
            </w:tcBorders>
            <w:hideMark/>
          </w:tcPr>
          <w:p w:rsidR="00B50D2A" w:rsidRDefault="00B50D2A">
            <w:pPr>
              <w:jc w:val="center"/>
              <w:rPr>
                <w:rFonts w:cstheme="minorHAnsi"/>
                <w:lang w:val="fr-FR"/>
              </w:rPr>
            </w:pPr>
            <w:r>
              <w:rPr>
                <w:lang w:val="fr-FR"/>
              </w:rPr>
              <w:t>09.30 – 09.50</w:t>
            </w:r>
          </w:p>
        </w:tc>
        <w:tc>
          <w:tcPr>
            <w:tcW w:w="5341"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hideMark/>
          </w:tcPr>
          <w:p w:rsidR="00B50D2A" w:rsidRDefault="00B50D2A">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222A35" w:themeColor="text2" w:themeShade="80"/>
                <w:sz w:val="24"/>
                <w:szCs w:val="24"/>
                <w:lang w:val="fr-FR"/>
              </w:rPr>
            </w:pPr>
            <w:r>
              <w:rPr>
                <w:lang w:val="fr-FR"/>
              </w:rPr>
              <w:t>Cadre stratégique mondial pour la collaboration sur la résistance aux antimicrobiens</w:t>
            </w:r>
          </w:p>
        </w:tc>
        <w:tc>
          <w:tcPr>
            <w:tcW w:w="2552" w:type="dxa"/>
            <w:tcBorders>
              <w:top w:val="single" w:sz="8" w:space="0" w:color="8EAADB" w:themeColor="accent5" w:themeTint="99"/>
              <w:left w:val="single" w:sz="8" w:space="0" w:color="8EAADB" w:themeColor="accent5" w:themeTint="99"/>
              <w:bottom w:val="single" w:sz="8" w:space="0" w:color="8EAADB" w:themeColor="accent5" w:themeTint="99"/>
              <w:right w:val="nil"/>
            </w:tcBorders>
            <w:hideMark/>
          </w:tcPr>
          <w:p w:rsidR="00B50D2A" w:rsidRDefault="00B50D2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222A35" w:themeColor="text2" w:themeShade="80"/>
                <w:sz w:val="24"/>
                <w:szCs w:val="24"/>
                <w:lang w:val="fr-FR"/>
              </w:rPr>
            </w:pPr>
            <w:r>
              <w:rPr>
                <w:lang w:val="fr-FR"/>
              </w:rPr>
              <w:t>FAO-HQ</w:t>
            </w:r>
          </w:p>
        </w:tc>
      </w:tr>
      <w:tr w:rsidR="00B50D2A" w:rsidTr="00B50D2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8EAADB" w:themeColor="accent5" w:themeTint="99"/>
              <w:left w:val="nil"/>
              <w:bottom w:val="single" w:sz="8" w:space="0" w:color="8EAADB" w:themeColor="accent5" w:themeTint="99"/>
              <w:right w:val="single" w:sz="8" w:space="0" w:color="8EAADB" w:themeColor="accent5" w:themeTint="99"/>
            </w:tcBorders>
            <w:hideMark/>
          </w:tcPr>
          <w:p w:rsidR="00B50D2A" w:rsidRDefault="00B50D2A">
            <w:pPr>
              <w:jc w:val="center"/>
              <w:rPr>
                <w:rFonts w:cstheme="minorHAnsi"/>
                <w:lang w:val="fr-FR"/>
              </w:rPr>
            </w:pPr>
            <w:r>
              <w:rPr>
                <w:lang w:val="fr-FR"/>
              </w:rPr>
              <w:t>09.50 – 10.50</w:t>
            </w:r>
          </w:p>
        </w:tc>
        <w:tc>
          <w:tcPr>
            <w:tcW w:w="5341"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hideMark/>
          </w:tcPr>
          <w:p w:rsidR="00B50D2A" w:rsidRDefault="00B50D2A">
            <w:pPr>
              <w:spacing w:line="276" w:lineRule="auto"/>
              <w:cnfStyle w:val="000000100000" w:firstRow="0" w:lastRow="0" w:firstColumn="0" w:lastColumn="0" w:oddVBand="0" w:evenVBand="0" w:oddHBand="1" w:evenHBand="0" w:firstRowFirstColumn="0" w:firstRowLastColumn="0" w:lastRowFirstColumn="0" w:lastRowLastColumn="0"/>
              <w:rPr>
                <w:lang w:val="fr-FR"/>
              </w:rPr>
            </w:pPr>
            <w:r>
              <w:rPr>
                <w:lang w:val="fr-FR"/>
              </w:rPr>
              <w:t>Plans d’action nationaux de la lutte contre la résistance aux antimicrobiens</w:t>
            </w:r>
          </w:p>
          <w:p w:rsidR="00B50D2A" w:rsidRDefault="00B50D2A" w:rsidP="00B50D2A">
            <w:pPr>
              <w:pStyle w:val="Paragraphedeliste"/>
              <w:numPr>
                <w:ilvl w:val="0"/>
                <w:numId w:val="6"/>
              </w:numPr>
              <w:spacing w:line="276" w:lineRule="auto"/>
              <w:ind w:left="330" w:hanging="330"/>
              <w:cnfStyle w:val="000000100000" w:firstRow="0" w:lastRow="0" w:firstColumn="0" w:lastColumn="0" w:oddVBand="0" w:evenVBand="0" w:oddHBand="1" w:evenHBand="0" w:firstRowFirstColumn="0" w:firstRowLastColumn="0" w:lastRowFirstColumn="0" w:lastRowLastColumn="0"/>
              <w:rPr>
                <w:lang w:val="fr-FR"/>
              </w:rPr>
            </w:pPr>
            <w:r>
              <w:rPr>
                <w:lang w:val="fr-FR"/>
              </w:rPr>
              <w:t>Algérie</w:t>
            </w:r>
          </w:p>
          <w:p w:rsidR="00B50D2A" w:rsidRDefault="00B50D2A" w:rsidP="00B50D2A">
            <w:pPr>
              <w:pStyle w:val="Paragraphedeliste"/>
              <w:numPr>
                <w:ilvl w:val="0"/>
                <w:numId w:val="6"/>
              </w:numPr>
              <w:spacing w:line="276" w:lineRule="auto"/>
              <w:ind w:left="330" w:hanging="330"/>
              <w:cnfStyle w:val="000000100000" w:firstRow="0" w:lastRow="0" w:firstColumn="0" w:lastColumn="0" w:oddVBand="0" w:evenVBand="0" w:oddHBand="1" w:evenHBand="0" w:firstRowFirstColumn="0" w:firstRowLastColumn="0" w:lastRowFirstColumn="0" w:lastRowLastColumn="0"/>
              <w:rPr>
                <w:lang w:val="fr-FR"/>
              </w:rPr>
            </w:pPr>
            <w:r>
              <w:rPr>
                <w:lang w:val="fr-FR"/>
              </w:rPr>
              <w:t>Libye</w:t>
            </w:r>
          </w:p>
          <w:p w:rsidR="00B50D2A" w:rsidRDefault="00B50D2A" w:rsidP="00B50D2A">
            <w:pPr>
              <w:pStyle w:val="Paragraphedeliste"/>
              <w:numPr>
                <w:ilvl w:val="0"/>
                <w:numId w:val="6"/>
              </w:numPr>
              <w:spacing w:line="276" w:lineRule="auto"/>
              <w:ind w:left="330" w:hanging="330"/>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MAROC </w:t>
            </w:r>
          </w:p>
          <w:p w:rsidR="00B50D2A" w:rsidRDefault="00B50D2A" w:rsidP="00B50D2A">
            <w:pPr>
              <w:pStyle w:val="Paragraphedeliste"/>
              <w:numPr>
                <w:ilvl w:val="0"/>
                <w:numId w:val="6"/>
              </w:numPr>
              <w:spacing w:line="276" w:lineRule="auto"/>
              <w:ind w:left="330" w:hanging="330"/>
              <w:cnfStyle w:val="000000100000" w:firstRow="0" w:lastRow="0" w:firstColumn="0" w:lastColumn="0" w:oddVBand="0" w:evenVBand="0" w:oddHBand="1" w:evenHBand="0" w:firstRowFirstColumn="0" w:firstRowLastColumn="0" w:lastRowFirstColumn="0" w:lastRowLastColumn="0"/>
              <w:rPr>
                <w:lang w:val="fr-FR"/>
              </w:rPr>
            </w:pPr>
            <w:r>
              <w:rPr>
                <w:lang w:val="fr-FR"/>
              </w:rPr>
              <w:t>Mauritanie</w:t>
            </w:r>
          </w:p>
          <w:p w:rsidR="00B50D2A" w:rsidRDefault="00B50D2A" w:rsidP="00B50D2A">
            <w:pPr>
              <w:pStyle w:val="Paragraphedeliste"/>
              <w:numPr>
                <w:ilvl w:val="0"/>
                <w:numId w:val="6"/>
              </w:numPr>
              <w:spacing w:line="276" w:lineRule="auto"/>
              <w:ind w:left="330" w:hanging="330"/>
              <w:cnfStyle w:val="000000100000" w:firstRow="0" w:lastRow="0" w:firstColumn="0" w:lastColumn="0" w:oddVBand="0" w:evenVBand="0" w:oddHBand="1" w:evenHBand="0" w:firstRowFirstColumn="0" w:firstRowLastColumn="0" w:lastRowFirstColumn="0" w:lastRowLastColumn="0"/>
              <w:rPr>
                <w:rFonts w:cstheme="minorHAnsi"/>
                <w:lang w:val="fr-FR"/>
              </w:rPr>
            </w:pPr>
            <w:r>
              <w:rPr>
                <w:lang w:val="fr-FR"/>
              </w:rPr>
              <w:t>Tunisie</w:t>
            </w:r>
          </w:p>
        </w:tc>
        <w:tc>
          <w:tcPr>
            <w:tcW w:w="2552" w:type="dxa"/>
            <w:tcBorders>
              <w:top w:val="single" w:sz="8" w:space="0" w:color="8EAADB" w:themeColor="accent5" w:themeTint="99"/>
              <w:left w:val="single" w:sz="8" w:space="0" w:color="8EAADB" w:themeColor="accent5" w:themeTint="99"/>
              <w:bottom w:val="single" w:sz="8" w:space="0" w:color="8EAADB" w:themeColor="accent5" w:themeTint="99"/>
              <w:right w:val="nil"/>
            </w:tcBorders>
            <w:hideMark/>
          </w:tcPr>
          <w:p w:rsidR="00B50D2A" w:rsidRDefault="00B50D2A">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lang w:val="fr-FR"/>
              </w:rPr>
            </w:pPr>
            <w:r>
              <w:rPr>
                <w:rFonts w:cstheme="minorHAnsi"/>
                <w:lang w:val="fr-FR"/>
              </w:rPr>
              <w:t xml:space="preserve">Pays </w:t>
            </w:r>
          </w:p>
        </w:tc>
      </w:tr>
      <w:tr w:rsidR="00B50D2A" w:rsidTr="00B50D2A">
        <w:trPr>
          <w:trHeight w:val="375"/>
        </w:trPr>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8EAADB" w:themeColor="accent5" w:themeTint="99"/>
              <w:left w:val="nil"/>
              <w:bottom w:val="single" w:sz="8" w:space="0" w:color="8EAADB" w:themeColor="accent5" w:themeTint="99"/>
              <w:right w:val="single" w:sz="8" w:space="0" w:color="8EAADB" w:themeColor="accent5" w:themeTint="99"/>
            </w:tcBorders>
            <w:hideMark/>
          </w:tcPr>
          <w:p w:rsidR="00B50D2A" w:rsidRDefault="00B50D2A">
            <w:pPr>
              <w:jc w:val="center"/>
              <w:rPr>
                <w:rFonts w:cstheme="minorHAnsi"/>
                <w:lang w:val="fr-FR"/>
              </w:rPr>
            </w:pPr>
            <w:r>
              <w:rPr>
                <w:lang w:val="fr-FR"/>
              </w:rPr>
              <w:t>10.50 – 11.00</w:t>
            </w:r>
          </w:p>
        </w:tc>
        <w:tc>
          <w:tcPr>
            <w:tcW w:w="5341"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hideMark/>
          </w:tcPr>
          <w:p w:rsidR="00B50D2A" w:rsidRDefault="00B50D2A">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lang w:val="fr-FR"/>
              </w:rPr>
            </w:pPr>
            <w:r>
              <w:rPr>
                <w:lang w:val="fr-FR"/>
              </w:rPr>
              <w:t>Pause</w:t>
            </w:r>
          </w:p>
        </w:tc>
        <w:tc>
          <w:tcPr>
            <w:tcW w:w="2552" w:type="dxa"/>
            <w:tcBorders>
              <w:top w:val="single" w:sz="8" w:space="0" w:color="8EAADB" w:themeColor="accent5" w:themeTint="99"/>
              <w:left w:val="single" w:sz="8" w:space="0" w:color="8EAADB" w:themeColor="accent5" w:themeTint="99"/>
              <w:bottom w:val="single" w:sz="8" w:space="0" w:color="8EAADB" w:themeColor="accent5" w:themeTint="99"/>
              <w:right w:val="nil"/>
            </w:tcBorders>
          </w:tcPr>
          <w:p w:rsidR="00B50D2A" w:rsidRDefault="00B50D2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222A35" w:themeColor="text2" w:themeShade="80"/>
                <w:sz w:val="24"/>
                <w:szCs w:val="24"/>
                <w:lang w:val="fr-FR"/>
              </w:rPr>
            </w:pPr>
          </w:p>
        </w:tc>
      </w:tr>
      <w:tr w:rsidR="00B50D2A" w:rsidTr="00B50D2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8EAADB" w:themeColor="accent5" w:themeTint="99"/>
              <w:left w:val="nil"/>
              <w:bottom w:val="single" w:sz="8" w:space="0" w:color="8EAADB" w:themeColor="accent5" w:themeTint="99"/>
              <w:right w:val="single" w:sz="8" w:space="0" w:color="8EAADB" w:themeColor="accent5" w:themeTint="99"/>
            </w:tcBorders>
            <w:hideMark/>
          </w:tcPr>
          <w:p w:rsidR="00B50D2A" w:rsidRDefault="00B50D2A">
            <w:pPr>
              <w:jc w:val="center"/>
              <w:rPr>
                <w:rFonts w:cstheme="minorHAnsi"/>
                <w:lang w:val="fr-FR"/>
              </w:rPr>
            </w:pPr>
            <w:r>
              <w:rPr>
                <w:lang w:val="fr-FR"/>
              </w:rPr>
              <w:t>11.00 – 11.20</w:t>
            </w:r>
          </w:p>
        </w:tc>
        <w:tc>
          <w:tcPr>
            <w:tcW w:w="5341"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hideMark/>
          </w:tcPr>
          <w:p w:rsidR="00B50D2A" w:rsidRDefault="00B50D2A">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fr-FR"/>
              </w:rPr>
            </w:pPr>
            <w:r>
              <w:rPr>
                <w:lang w:val="fr-FR"/>
              </w:rPr>
              <w:t>Fonds fiduciaire multipartenaires pour la lutte contre la résistance aux antimicrobiens</w:t>
            </w:r>
          </w:p>
        </w:tc>
        <w:tc>
          <w:tcPr>
            <w:tcW w:w="2552" w:type="dxa"/>
            <w:tcBorders>
              <w:top w:val="single" w:sz="8" w:space="0" w:color="8EAADB" w:themeColor="accent5" w:themeTint="99"/>
              <w:left w:val="single" w:sz="8" w:space="0" w:color="8EAADB" w:themeColor="accent5" w:themeTint="99"/>
              <w:bottom w:val="single" w:sz="8" w:space="0" w:color="8EAADB" w:themeColor="accent5" w:themeTint="99"/>
              <w:right w:val="nil"/>
            </w:tcBorders>
            <w:hideMark/>
          </w:tcPr>
          <w:p w:rsidR="00B50D2A" w:rsidRDefault="00B50D2A">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lang w:val="fr-FR"/>
              </w:rPr>
            </w:pPr>
            <w:r>
              <w:rPr>
                <w:lang w:val="fr-FR"/>
              </w:rPr>
              <w:t xml:space="preserve">Secrétariat MPTF </w:t>
            </w:r>
          </w:p>
        </w:tc>
      </w:tr>
      <w:tr w:rsidR="00B50D2A" w:rsidTr="00B50D2A">
        <w:trPr>
          <w:trHeight w:val="615"/>
        </w:trPr>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8EAADB" w:themeColor="accent5" w:themeTint="99"/>
              <w:left w:val="nil"/>
              <w:bottom w:val="single" w:sz="8" w:space="0" w:color="8EAADB" w:themeColor="accent5" w:themeTint="99"/>
              <w:right w:val="single" w:sz="8" w:space="0" w:color="8EAADB" w:themeColor="accent5" w:themeTint="99"/>
            </w:tcBorders>
            <w:hideMark/>
          </w:tcPr>
          <w:p w:rsidR="00B50D2A" w:rsidRDefault="00B50D2A">
            <w:pPr>
              <w:jc w:val="center"/>
              <w:rPr>
                <w:rFonts w:cstheme="minorHAnsi"/>
                <w:lang w:val="fr-FR"/>
              </w:rPr>
            </w:pPr>
            <w:r>
              <w:rPr>
                <w:lang w:val="fr-FR"/>
              </w:rPr>
              <w:t>11.20 – 11.30</w:t>
            </w:r>
          </w:p>
        </w:tc>
        <w:tc>
          <w:tcPr>
            <w:tcW w:w="5341"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hideMark/>
          </w:tcPr>
          <w:p w:rsidR="00B50D2A" w:rsidRDefault="00B50D2A">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fr-FR"/>
              </w:rPr>
            </w:pPr>
            <w:r>
              <w:rPr>
                <w:lang w:val="fr-FR"/>
              </w:rPr>
              <w:t>Projet AMR- MPTF Maroc</w:t>
            </w:r>
          </w:p>
        </w:tc>
        <w:tc>
          <w:tcPr>
            <w:tcW w:w="2552" w:type="dxa"/>
            <w:tcBorders>
              <w:top w:val="single" w:sz="8" w:space="0" w:color="8EAADB" w:themeColor="accent5" w:themeTint="99"/>
              <w:left w:val="single" w:sz="8" w:space="0" w:color="8EAADB" w:themeColor="accent5" w:themeTint="99"/>
              <w:bottom w:val="single" w:sz="8" w:space="0" w:color="8EAADB" w:themeColor="accent5" w:themeTint="99"/>
              <w:right w:val="nil"/>
            </w:tcBorders>
            <w:hideMark/>
          </w:tcPr>
          <w:p w:rsidR="00B50D2A" w:rsidRDefault="00B50D2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222A35" w:themeColor="text2" w:themeShade="80"/>
                <w:sz w:val="24"/>
                <w:szCs w:val="24"/>
                <w:lang w:val="fr-FR"/>
              </w:rPr>
            </w:pPr>
            <w:r>
              <w:rPr>
                <w:lang w:val="fr-FR"/>
              </w:rPr>
              <w:t xml:space="preserve">FAO Maroc </w:t>
            </w:r>
          </w:p>
        </w:tc>
      </w:tr>
      <w:tr w:rsidR="00B50D2A" w:rsidTr="00B50D2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8EAADB" w:themeColor="accent5" w:themeTint="99"/>
              <w:left w:val="nil"/>
              <w:bottom w:val="single" w:sz="8" w:space="0" w:color="8EAADB" w:themeColor="accent5" w:themeTint="99"/>
              <w:right w:val="single" w:sz="8" w:space="0" w:color="8EAADB" w:themeColor="accent5" w:themeTint="99"/>
            </w:tcBorders>
            <w:hideMark/>
          </w:tcPr>
          <w:p w:rsidR="00B50D2A" w:rsidRDefault="00B50D2A">
            <w:pPr>
              <w:jc w:val="center"/>
              <w:rPr>
                <w:rFonts w:eastAsia="Calibri" w:cstheme="minorHAnsi"/>
                <w:color w:val="000000" w:themeColor="text1"/>
                <w:lang w:val="es-ES"/>
              </w:rPr>
            </w:pPr>
            <w:r>
              <w:rPr>
                <w:lang w:val="fr-FR"/>
              </w:rPr>
              <w:t>11.30 – 11.40</w:t>
            </w:r>
          </w:p>
        </w:tc>
        <w:tc>
          <w:tcPr>
            <w:tcW w:w="5341"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hideMark/>
          </w:tcPr>
          <w:p w:rsidR="00B50D2A" w:rsidRDefault="00B50D2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color w:val="222A35" w:themeColor="text2" w:themeShade="80"/>
                <w:sz w:val="24"/>
                <w:szCs w:val="24"/>
                <w:lang w:val="fr-FR"/>
              </w:rPr>
            </w:pPr>
            <w:r>
              <w:rPr>
                <w:lang w:val="fr-FR"/>
              </w:rPr>
              <w:t>Projet AMR- MPTF Tunisie</w:t>
            </w:r>
          </w:p>
        </w:tc>
        <w:tc>
          <w:tcPr>
            <w:tcW w:w="2552" w:type="dxa"/>
            <w:tcBorders>
              <w:top w:val="single" w:sz="8" w:space="0" w:color="8EAADB" w:themeColor="accent5" w:themeTint="99"/>
              <w:left w:val="single" w:sz="8" w:space="0" w:color="8EAADB" w:themeColor="accent5" w:themeTint="99"/>
              <w:bottom w:val="single" w:sz="8" w:space="0" w:color="8EAADB" w:themeColor="accent5" w:themeTint="99"/>
              <w:right w:val="nil"/>
            </w:tcBorders>
            <w:hideMark/>
          </w:tcPr>
          <w:p w:rsidR="00B50D2A" w:rsidRDefault="00B50D2A">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lang w:val="fr-FR"/>
              </w:rPr>
            </w:pPr>
            <w:r>
              <w:rPr>
                <w:lang w:val="fr-FR"/>
              </w:rPr>
              <w:t>FAO SNE</w:t>
            </w:r>
          </w:p>
        </w:tc>
      </w:tr>
      <w:tr w:rsidR="00B50D2A" w:rsidTr="00B50D2A">
        <w:trPr>
          <w:trHeight w:val="405"/>
        </w:trPr>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8EAADB" w:themeColor="accent5" w:themeTint="99"/>
              <w:left w:val="nil"/>
              <w:bottom w:val="single" w:sz="8" w:space="0" w:color="8EAADB" w:themeColor="accent5" w:themeTint="99"/>
              <w:right w:val="single" w:sz="8" w:space="0" w:color="8EAADB" w:themeColor="accent5" w:themeTint="99"/>
            </w:tcBorders>
            <w:hideMark/>
          </w:tcPr>
          <w:p w:rsidR="00B50D2A" w:rsidRDefault="00B50D2A">
            <w:pPr>
              <w:jc w:val="center"/>
              <w:rPr>
                <w:lang w:val="fr-FR"/>
              </w:rPr>
            </w:pPr>
            <w:r>
              <w:rPr>
                <w:lang w:val="fr-FR"/>
              </w:rPr>
              <w:t>11.40 – 12.30</w:t>
            </w:r>
          </w:p>
        </w:tc>
        <w:tc>
          <w:tcPr>
            <w:tcW w:w="5341"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hideMark/>
          </w:tcPr>
          <w:p w:rsidR="00B50D2A" w:rsidRDefault="00B50D2A">
            <w:pPr>
              <w:spacing w:line="276" w:lineRule="auto"/>
              <w:jc w:val="both"/>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Discussion </w:t>
            </w:r>
          </w:p>
        </w:tc>
        <w:tc>
          <w:tcPr>
            <w:tcW w:w="2552" w:type="dxa"/>
            <w:tcBorders>
              <w:top w:val="single" w:sz="8" w:space="0" w:color="8EAADB" w:themeColor="accent5" w:themeTint="99"/>
              <w:left w:val="single" w:sz="8" w:space="0" w:color="8EAADB" w:themeColor="accent5" w:themeTint="99"/>
              <w:bottom w:val="single" w:sz="8" w:space="0" w:color="8EAADB" w:themeColor="accent5" w:themeTint="99"/>
              <w:right w:val="nil"/>
            </w:tcBorders>
          </w:tcPr>
          <w:p w:rsidR="00B50D2A" w:rsidRDefault="00B50D2A">
            <w:pPr>
              <w:spacing w:line="276" w:lineRule="auto"/>
              <w:jc w:val="center"/>
              <w:cnfStyle w:val="000000000000" w:firstRow="0" w:lastRow="0" w:firstColumn="0" w:lastColumn="0" w:oddVBand="0" w:evenVBand="0" w:oddHBand="0" w:evenHBand="0" w:firstRowFirstColumn="0" w:firstRowLastColumn="0" w:lastRowFirstColumn="0" w:lastRowLastColumn="0"/>
              <w:rPr>
                <w:lang w:val="fr-FR"/>
              </w:rPr>
            </w:pPr>
          </w:p>
        </w:tc>
      </w:tr>
      <w:tr w:rsidR="00B50D2A" w:rsidTr="00B50D2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605" w:type="dxa"/>
            <w:tcBorders>
              <w:top w:val="single" w:sz="8" w:space="0" w:color="8EAADB" w:themeColor="accent5" w:themeTint="99"/>
              <w:left w:val="nil"/>
              <w:bottom w:val="single" w:sz="8" w:space="0" w:color="8EAADB" w:themeColor="accent5" w:themeTint="99"/>
              <w:right w:val="single" w:sz="8" w:space="0" w:color="8EAADB" w:themeColor="accent5" w:themeTint="99"/>
            </w:tcBorders>
            <w:hideMark/>
          </w:tcPr>
          <w:p w:rsidR="00B50D2A" w:rsidRDefault="00B50D2A">
            <w:pPr>
              <w:jc w:val="center"/>
              <w:rPr>
                <w:lang w:val="fr-FR"/>
              </w:rPr>
            </w:pPr>
            <w:r>
              <w:rPr>
                <w:lang w:val="fr-FR"/>
              </w:rPr>
              <w:t>12.30</w:t>
            </w:r>
          </w:p>
        </w:tc>
        <w:tc>
          <w:tcPr>
            <w:tcW w:w="5341"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hideMark/>
          </w:tcPr>
          <w:p w:rsidR="00B50D2A" w:rsidRDefault="00B50D2A">
            <w:pPr>
              <w:spacing w:line="276" w:lineRule="auto"/>
              <w:jc w:val="both"/>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Clôture </w:t>
            </w:r>
          </w:p>
        </w:tc>
        <w:tc>
          <w:tcPr>
            <w:tcW w:w="2552" w:type="dxa"/>
            <w:tcBorders>
              <w:top w:val="single" w:sz="8" w:space="0" w:color="8EAADB" w:themeColor="accent5" w:themeTint="99"/>
              <w:left w:val="single" w:sz="8" w:space="0" w:color="8EAADB" w:themeColor="accent5" w:themeTint="99"/>
              <w:bottom w:val="single" w:sz="8" w:space="0" w:color="8EAADB" w:themeColor="accent5" w:themeTint="99"/>
              <w:right w:val="nil"/>
            </w:tcBorders>
          </w:tcPr>
          <w:p w:rsidR="00B50D2A" w:rsidRDefault="00B50D2A">
            <w:pPr>
              <w:spacing w:line="276" w:lineRule="auto"/>
              <w:jc w:val="center"/>
              <w:cnfStyle w:val="000000100000" w:firstRow="0" w:lastRow="0" w:firstColumn="0" w:lastColumn="0" w:oddVBand="0" w:evenVBand="0" w:oddHBand="1" w:evenHBand="0" w:firstRowFirstColumn="0" w:firstRowLastColumn="0" w:lastRowFirstColumn="0" w:lastRowLastColumn="0"/>
              <w:rPr>
                <w:lang w:val="fr-FR"/>
              </w:rPr>
            </w:pPr>
          </w:p>
        </w:tc>
      </w:tr>
    </w:tbl>
    <w:p w:rsidR="009C6C21" w:rsidRPr="0029611F" w:rsidRDefault="009C6C21" w:rsidP="52804C7A">
      <w:pPr>
        <w:spacing w:line="276" w:lineRule="auto"/>
        <w:jc w:val="both"/>
        <w:rPr>
          <w:rFonts w:cstheme="minorHAnsi"/>
          <w:sz w:val="24"/>
          <w:szCs w:val="24"/>
          <w:lang w:val="fr-FR"/>
        </w:rPr>
      </w:pPr>
    </w:p>
    <w:sectPr w:rsidR="009C6C21" w:rsidRPr="0029611F" w:rsidSect="00076158">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C8" w:rsidRDefault="00FE7BC8" w:rsidP="00727351">
      <w:pPr>
        <w:spacing w:after="0" w:line="240" w:lineRule="auto"/>
      </w:pPr>
      <w:r>
        <w:separator/>
      </w:r>
    </w:p>
  </w:endnote>
  <w:endnote w:type="continuationSeparator" w:id="0">
    <w:p w:rsidR="00FE7BC8" w:rsidRDefault="00FE7BC8" w:rsidP="0072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C8" w:rsidRDefault="00FE7BC8" w:rsidP="00727351">
      <w:pPr>
        <w:spacing w:after="0" w:line="240" w:lineRule="auto"/>
      </w:pPr>
      <w:r>
        <w:separator/>
      </w:r>
    </w:p>
  </w:footnote>
  <w:footnote w:type="continuationSeparator" w:id="0">
    <w:p w:rsidR="00FE7BC8" w:rsidRDefault="00FE7BC8" w:rsidP="00727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16" w:rsidRDefault="008D1416">
    <w:pPr>
      <w:pStyle w:val="En-tte"/>
    </w:pPr>
    <w:r>
      <w:rPr>
        <w:noProof/>
      </w:rPr>
      <w:drawing>
        <wp:inline distT="0" distB="0" distL="0" distR="0" wp14:anchorId="56BFF680" wp14:editId="6CABCE23">
          <wp:extent cx="3124200" cy="925976"/>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633" cy="937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2901"/>
    <w:multiLevelType w:val="hybridMultilevel"/>
    <w:tmpl w:val="B71A0296"/>
    <w:lvl w:ilvl="0" w:tplc="C0E81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13709"/>
    <w:multiLevelType w:val="hybridMultilevel"/>
    <w:tmpl w:val="032E3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F4BCE"/>
    <w:multiLevelType w:val="hybridMultilevel"/>
    <w:tmpl w:val="661EF376"/>
    <w:lvl w:ilvl="0" w:tplc="A5E616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94D27"/>
    <w:multiLevelType w:val="hybridMultilevel"/>
    <w:tmpl w:val="4E3A775C"/>
    <w:lvl w:ilvl="0" w:tplc="B04CE22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fr-FR" w:vendorID="64" w:dllVersion="0" w:nlCheck="1" w:checkStyle="0"/>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A2"/>
    <w:rsid w:val="000103EF"/>
    <w:rsid w:val="00076158"/>
    <w:rsid w:val="000B3908"/>
    <w:rsid w:val="000E3B51"/>
    <w:rsid w:val="001109D6"/>
    <w:rsid w:val="001116E7"/>
    <w:rsid w:val="00122863"/>
    <w:rsid w:val="00161644"/>
    <w:rsid w:val="00227F9C"/>
    <w:rsid w:val="002555C9"/>
    <w:rsid w:val="0029611F"/>
    <w:rsid w:val="002B2E97"/>
    <w:rsid w:val="002D368C"/>
    <w:rsid w:val="00391C10"/>
    <w:rsid w:val="00420058"/>
    <w:rsid w:val="00434F79"/>
    <w:rsid w:val="004376E1"/>
    <w:rsid w:val="004A2A40"/>
    <w:rsid w:val="00500E61"/>
    <w:rsid w:val="005513E4"/>
    <w:rsid w:val="0055521D"/>
    <w:rsid w:val="00584ABA"/>
    <w:rsid w:val="005D4288"/>
    <w:rsid w:val="005D6B77"/>
    <w:rsid w:val="006B22B8"/>
    <w:rsid w:val="006D5D09"/>
    <w:rsid w:val="006F7819"/>
    <w:rsid w:val="007133E3"/>
    <w:rsid w:val="00727351"/>
    <w:rsid w:val="007813B3"/>
    <w:rsid w:val="007F40CE"/>
    <w:rsid w:val="008234A5"/>
    <w:rsid w:val="008571D8"/>
    <w:rsid w:val="00876D04"/>
    <w:rsid w:val="008D1416"/>
    <w:rsid w:val="008E7E68"/>
    <w:rsid w:val="0092478B"/>
    <w:rsid w:val="009403A2"/>
    <w:rsid w:val="009C6C21"/>
    <w:rsid w:val="009C71A2"/>
    <w:rsid w:val="009D0FF6"/>
    <w:rsid w:val="009D2FA8"/>
    <w:rsid w:val="00A15805"/>
    <w:rsid w:val="00AE14BB"/>
    <w:rsid w:val="00AF2972"/>
    <w:rsid w:val="00B50D2A"/>
    <w:rsid w:val="00B81AB7"/>
    <w:rsid w:val="00B86FE7"/>
    <w:rsid w:val="00BB4D41"/>
    <w:rsid w:val="00BD6FFC"/>
    <w:rsid w:val="00C03631"/>
    <w:rsid w:val="00C11E3B"/>
    <w:rsid w:val="00C66B0B"/>
    <w:rsid w:val="00CA683C"/>
    <w:rsid w:val="00CE4BB5"/>
    <w:rsid w:val="00CF07C9"/>
    <w:rsid w:val="00D04EF5"/>
    <w:rsid w:val="00D06FB6"/>
    <w:rsid w:val="00D9684C"/>
    <w:rsid w:val="00DB0506"/>
    <w:rsid w:val="00DD0FD8"/>
    <w:rsid w:val="00DD2DEB"/>
    <w:rsid w:val="00DE0CC3"/>
    <w:rsid w:val="00DE3C94"/>
    <w:rsid w:val="00E52E6D"/>
    <w:rsid w:val="00F07D77"/>
    <w:rsid w:val="00F1200D"/>
    <w:rsid w:val="00F35ECF"/>
    <w:rsid w:val="00F574D5"/>
    <w:rsid w:val="00FB181A"/>
    <w:rsid w:val="00FD04B2"/>
    <w:rsid w:val="00FE7BC8"/>
    <w:rsid w:val="0111386F"/>
    <w:rsid w:val="0117AD75"/>
    <w:rsid w:val="015EB8FE"/>
    <w:rsid w:val="01831621"/>
    <w:rsid w:val="01FDFA24"/>
    <w:rsid w:val="0233F934"/>
    <w:rsid w:val="031017C4"/>
    <w:rsid w:val="038685F0"/>
    <w:rsid w:val="0463E30D"/>
    <w:rsid w:val="0467F3E7"/>
    <w:rsid w:val="0489D836"/>
    <w:rsid w:val="049D0894"/>
    <w:rsid w:val="05737545"/>
    <w:rsid w:val="05D7ED85"/>
    <w:rsid w:val="05E08A06"/>
    <w:rsid w:val="0633A15C"/>
    <w:rsid w:val="069F0A08"/>
    <w:rsid w:val="06AD2B46"/>
    <w:rsid w:val="06E8D3E9"/>
    <w:rsid w:val="070FAA4D"/>
    <w:rsid w:val="07230399"/>
    <w:rsid w:val="073B4113"/>
    <w:rsid w:val="074D4C29"/>
    <w:rsid w:val="07ADE432"/>
    <w:rsid w:val="08D77C11"/>
    <w:rsid w:val="09BFEDE2"/>
    <w:rsid w:val="09D91342"/>
    <w:rsid w:val="0AB152F5"/>
    <w:rsid w:val="0AC3CEBC"/>
    <w:rsid w:val="0AD93BF2"/>
    <w:rsid w:val="0AEBDACF"/>
    <w:rsid w:val="0B771B4C"/>
    <w:rsid w:val="0C0DE149"/>
    <w:rsid w:val="0CB99514"/>
    <w:rsid w:val="0CDDF708"/>
    <w:rsid w:val="0E0BFEDB"/>
    <w:rsid w:val="0E5855D6"/>
    <w:rsid w:val="0E928727"/>
    <w:rsid w:val="0F967B7D"/>
    <w:rsid w:val="0FAA39B6"/>
    <w:rsid w:val="0FD1101A"/>
    <w:rsid w:val="101597CA"/>
    <w:rsid w:val="112A6520"/>
    <w:rsid w:val="11466EBE"/>
    <w:rsid w:val="117ADF2C"/>
    <w:rsid w:val="11C5DF60"/>
    <w:rsid w:val="12BBCD62"/>
    <w:rsid w:val="1372B8C2"/>
    <w:rsid w:val="147127CA"/>
    <w:rsid w:val="15F4C250"/>
    <w:rsid w:val="161FD42E"/>
    <w:rsid w:val="1639B93F"/>
    <w:rsid w:val="16AB22D2"/>
    <w:rsid w:val="1715C230"/>
    <w:rsid w:val="17233E61"/>
    <w:rsid w:val="17AE8D05"/>
    <w:rsid w:val="1826A894"/>
    <w:rsid w:val="18FD1545"/>
    <w:rsid w:val="19117155"/>
    <w:rsid w:val="193D1109"/>
    <w:rsid w:val="1A6C4CCB"/>
    <w:rsid w:val="1B52EA9F"/>
    <w:rsid w:val="1C809D62"/>
    <w:rsid w:val="1CDD8DBE"/>
    <w:rsid w:val="1CF291D3"/>
    <w:rsid w:val="1D17308E"/>
    <w:rsid w:val="1D196837"/>
    <w:rsid w:val="1D7DE077"/>
    <w:rsid w:val="1DB4B628"/>
    <w:rsid w:val="1DBA8117"/>
    <w:rsid w:val="1E2A4E9B"/>
    <w:rsid w:val="1E30037D"/>
    <w:rsid w:val="1E61C959"/>
    <w:rsid w:val="1E736705"/>
    <w:rsid w:val="1EF33F1B"/>
    <w:rsid w:val="1F0D7079"/>
    <w:rsid w:val="1F369A97"/>
    <w:rsid w:val="2004257F"/>
    <w:rsid w:val="204D0050"/>
    <w:rsid w:val="228993A4"/>
    <w:rsid w:val="22AB9FB1"/>
    <w:rsid w:val="22D6B689"/>
    <w:rsid w:val="22F637DA"/>
    <w:rsid w:val="2312ACA1"/>
    <w:rsid w:val="23682C4B"/>
    <w:rsid w:val="239529CD"/>
    <w:rsid w:val="23BF285A"/>
    <w:rsid w:val="23E67DCF"/>
    <w:rsid w:val="245E1A4D"/>
    <w:rsid w:val="2581FEF3"/>
    <w:rsid w:val="26FCBD69"/>
    <w:rsid w:val="271BDA13"/>
    <w:rsid w:val="278DCE84"/>
    <w:rsid w:val="282C8DA6"/>
    <w:rsid w:val="288E108E"/>
    <w:rsid w:val="28C58B4C"/>
    <w:rsid w:val="29C7E9CB"/>
    <w:rsid w:val="29CAAE52"/>
    <w:rsid w:val="2AB43374"/>
    <w:rsid w:val="2B3E5423"/>
    <w:rsid w:val="2B715C23"/>
    <w:rsid w:val="2BAA2176"/>
    <w:rsid w:val="2BC41CAB"/>
    <w:rsid w:val="2C1C15E7"/>
    <w:rsid w:val="2D2CFC4B"/>
    <w:rsid w:val="2DD95FD7"/>
    <w:rsid w:val="2E2791C0"/>
    <w:rsid w:val="2E6E6F0D"/>
    <w:rsid w:val="2EBA077C"/>
    <w:rsid w:val="2F3B8563"/>
    <w:rsid w:val="2F753038"/>
    <w:rsid w:val="2FC7704E"/>
    <w:rsid w:val="30F2E63E"/>
    <w:rsid w:val="31110099"/>
    <w:rsid w:val="312701C8"/>
    <w:rsid w:val="315D7D6A"/>
    <w:rsid w:val="31E2A4F0"/>
    <w:rsid w:val="321866DB"/>
    <w:rsid w:val="323AA7C4"/>
    <w:rsid w:val="329F21F8"/>
    <w:rsid w:val="33232621"/>
    <w:rsid w:val="3342A772"/>
    <w:rsid w:val="33A045AF"/>
    <w:rsid w:val="34191423"/>
    <w:rsid w:val="341D39CD"/>
    <w:rsid w:val="34340C85"/>
    <w:rsid w:val="344F8FC5"/>
    <w:rsid w:val="350A7936"/>
    <w:rsid w:val="353776B8"/>
    <w:rsid w:val="360DE369"/>
    <w:rsid w:val="378A9720"/>
    <w:rsid w:val="37C33DD1"/>
    <w:rsid w:val="3893518E"/>
    <w:rsid w:val="38BB58E4"/>
    <w:rsid w:val="3919DAD5"/>
    <w:rsid w:val="3970E37E"/>
    <w:rsid w:val="3971EA35"/>
    <w:rsid w:val="3A3C48F1"/>
    <w:rsid w:val="3B00A30C"/>
    <w:rsid w:val="3B78BE9B"/>
    <w:rsid w:val="3B96D393"/>
    <w:rsid w:val="3BF2F9A6"/>
    <w:rsid w:val="3C4E70A8"/>
    <w:rsid w:val="3C4F2B4C"/>
    <w:rsid w:val="3C6FF80D"/>
    <w:rsid w:val="3C7C28CE"/>
    <w:rsid w:val="3CB3A38C"/>
    <w:rsid w:val="3CE1B27D"/>
    <w:rsid w:val="3DDDE423"/>
    <w:rsid w:val="3DEB6054"/>
    <w:rsid w:val="3E0A45D3"/>
    <w:rsid w:val="3E92FB86"/>
    <w:rsid w:val="3EC1CD05"/>
    <w:rsid w:val="3ECA1E37"/>
    <w:rsid w:val="3ECF4936"/>
    <w:rsid w:val="3F2F961E"/>
    <w:rsid w:val="3FA3A97A"/>
    <w:rsid w:val="3FBE10FE"/>
    <w:rsid w:val="3FD2B369"/>
    <w:rsid w:val="400DDE59"/>
    <w:rsid w:val="4015CC58"/>
    <w:rsid w:val="406B7E3E"/>
    <w:rsid w:val="4071A55C"/>
    <w:rsid w:val="4085D28E"/>
    <w:rsid w:val="4106CC2F"/>
    <w:rsid w:val="41AC8A4D"/>
    <w:rsid w:val="41B3DF60"/>
    <w:rsid w:val="41C34735"/>
    <w:rsid w:val="4225D3D1"/>
    <w:rsid w:val="42335002"/>
    <w:rsid w:val="42654001"/>
    <w:rsid w:val="428187A8"/>
    <w:rsid w:val="42A9CD62"/>
    <w:rsid w:val="42ECF054"/>
    <w:rsid w:val="433FB036"/>
    <w:rsid w:val="43563B86"/>
    <w:rsid w:val="4401D2C7"/>
    <w:rsid w:val="44FA507F"/>
    <w:rsid w:val="456E07B1"/>
    <w:rsid w:val="4582858A"/>
    <w:rsid w:val="45A1EE3C"/>
    <w:rsid w:val="45DBA9AB"/>
    <w:rsid w:val="46B888F2"/>
    <w:rsid w:val="46BA4252"/>
    <w:rsid w:val="46E73FD4"/>
    <w:rsid w:val="48E64CEB"/>
    <w:rsid w:val="49060DA7"/>
    <w:rsid w:val="4927BFF2"/>
    <w:rsid w:val="492E3837"/>
    <w:rsid w:val="49720B76"/>
    <w:rsid w:val="49830074"/>
    <w:rsid w:val="4A1381DF"/>
    <w:rsid w:val="4B968DAF"/>
    <w:rsid w:val="4BDB53A3"/>
    <w:rsid w:val="4C7AADB3"/>
    <w:rsid w:val="4D1B0B86"/>
    <w:rsid w:val="4D226099"/>
    <w:rsid w:val="4D53791A"/>
    <w:rsid w:val="4D5B2F83"/>
    <w:rsid w:val="4E9A742F"/>
    <w:rsid w:val="4EFC377D"/>
    <w:rsid w:val="4F48ABB8"/>
    <w:rsid w:val="4FCF4A51"/>
    <w:rsid w:val="500D1DE1"/>
    <w:rsid w:val="5051646C"/>
    <w:rsid w:val="50D6D81D"/>
    <w:rsid w:val="517AC1D0"/>
    <w:rsid w:val="5180A983"/>
    <w:rsid w:val="521FD049"/>
    <w:rsid w:val="527FBF9A"/>
    <w:rsid w:val="52804C7A"/>
    <w:rsid w:val="52C4B689"/>
    <w:rsid w:val="53700C7A"/>
    <w:rsid w:val="53923E4A"/>
    <w:rsid w:val="547917CF"/>
    <w:rsid w:val="54B1EC5E"/>
    <w:rsid w:val="54EC5C3F"/>
    <w:rsid w:val="5557710B"/>
    <w:rsid w:val="55DC7153"/>
    <w:rsid w:val="56349955"/>
    <w:rsid w:val="56967718"/>
    <w:rsid w:val="56F3416C"/>
    <w:rsid w:val="56FE2052"/>
    <w:rsid w:val="576B2A2A"/>
    <w:rsid w:val="58283CA8"/>
    <w:rsid w:val="585502EB"/>
    <w:rsid w:val="58553A2A"/>
    <w:rsid w:val="58596E2E"/>
    <w:rsid w:val="588F11CD"/>
    <w:rsid w:val="59C471B0"/>
    <w:rsid w:val="59EDCB30"/>
    <w:rsid w:val="5A0B90B1"/>
    <w:rsid w:val="5A16E4D0"/>
    <w:rsid w:val="5A2AE22E"/>
    <w:rsid w:val="5A86B4B5"/>
    <w:rsid w:val="5B39D054"/>
    <w:rsid w:val="5CED2347"/>
    <w:rsid w:val="5CF0FDBE"/>
    <w:rsid w:val="5D1AFC4B"/>
    <w:rsid w:val="5D55072A"/>
    <w:rsid w:val="5DC76A6F"/>
    <w:rsid w:val="5E3E7C4A"/>
    <w:rsid w:val="5F639F77"/>
    <w:rsid w:val="5F93C522"/>
    <w:rsid w:val="600502C4"/>
    <w:rsid w:val="603A0C28"/>
    <w:rsid w:val="6111CD05"/>
    <w:rsid w:val="613D765B"/>
    <w:rsid w:val="614F6DE6"/>
    <w:rsid w:val="61B6F25E"/>
    <w:rsid w:val="61E5118D"/>
    <w:rsid w:val="627D1314"/>
    <w:rsid w:val="6285D77D"/>
    <w:rsid w:val="62D9AB63"/>
    <w:rsid w:val="63102705"/>
    <w:rsid w:val="634CF400"/>
    <w:rsid w:val="638AD24A"/>
    <w:rsid w:val="63BD9445"/>
    <w:rsid w:val="63FF78CE"/>
    <w:rsid w:val="642F88B6"/>
    <w:rsid w:val="6458E236"/>
    <w:rsid w:val="6505F567"/>
    <w:rsid w:val="65976B29"/>
    <w:rsid w:val="660C51F5"/>
    <w:rsid w:val="661F4118"/>
    <w:rsid w:val="6688D03C"/>
    <w:rsid w:val="678C3A6F"/>
    <w:rsid w:val="68250544"/>
    <w:rsid w:val="6847E561"/>
    <w:rsid w:val="69FC8681"/>
    <w:rsid w:val="6A0C5859"/>
    <w:rsid w:val="6A889836"/>
    <w:rsid w:val="6B1FF6AC"/>
    <w:rsid w:val="6B3E78E1"/>
    <w:rsid w:val="6B743ACC"/>
    <w:rsid w:val="6B985BF3"/>
    <w:rsid w:val="6BEB8E15"/>
    <w:rsid w:val="6C407160"/>
    <w:rsid w:val="6C5823AE"/>
    <w:rsid w:val="6C9D2431"/>
    <w:rsid w:val="6CCC76F1"/>
    <w:rsid w:val="6D0EDC3D"/>
    <w:rsid w:val="6D65DDC1"/>
    <w:rsid w:val="6D8FE076"/>
    <w:rsid w:val="6DF458B6"/>
    <w:rsid w:val="6E664D27"/>
    <w:rsid w:val="6EBD4936"/>
    <w:rsid w:val="6F4A3609"/>
    <w:rsid w:val="6F68FC3B"/>
    <w:rsid w:val="6F69B75A"/>
    <w:rsid w:val="6FA1486B"/>
    <w:rsid w:val="707CD7B8"/>
    <w:rsid w:val="70D67D07"/>
    <w:rsid w:val="70F15004"/>
    <w:rsid w:val="71182156"/>
    <w:rsid w:val="711F11C2"/>
    <w:rsid w:val="7152A1F0"/>
    <w:rsid w:val="724E4D84"/>
    <w:rsid w:val="729A31E4"/>
    <w:rsid w:val="72CDBE26"/>
    <w:rsid w:val="73FE25DB"/>
    <w:rsid w:val="741F6D94"/>
    <w:rsid w:val="745C76FD"/>
    <w:rsid w:val="75405FDF"/>
    <w:rsid w:val="7567C121"/>
    <w:rsid w:val="7578549B"/>
    <w:rsid w:val="75AAFF3D"/>
    <w:rsid w:val="75BE2BA4"/>
    <w:rsid w:val="7627D294"/>
    <w:rsid w:val="7650A433"/>
    <w:rsid w:val="76E2BC05"/>
    <w:rsid w:val="76E7D96F"/>
    <w:rsid w:val="77117C60"/>
    <w:rsid w:val="77C6A4E7"/>
    <w:rsid w:val="786CA171"/>
    <w:rsid w:val="7919E4EF"/>
    <w:rsid w:val="79E572BA"/>
    <w:rsid w:val="79F44FB1"/>
    <w:rsid w:val="7B6AB2AE"/>
    <w:rsid w:val="7BC896EF"/>
    <w:rsid w:val="7BD6CFD4"/>
    <w:rsid w:val="7C928E26"/>
    <w:rsid w:val="7D5DA6B8"/>
    <w:rsid w:val="7D7AFFF7"/>
    <w:rsid w:val="7E324D01"/>
    <w:rsid w:val="7E53D425"/>
    <w:rsid w:val="7EDE597B"/>
    <w:rsid w:val="7F5CA9F0"/>
    <w:rsid w:val="7F6560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11617-A4E4-4E2E-BDA7-B787DEDE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9D6"/>
    <w:pPr>
      <w:spacing w:line="25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116E7"/>
    <w:rPr>
      <w:i/>
      <w:iCs/>
    </w:rPr>
  </w:style>
  <w:style w:type="paragraph" w:styleId="Paragraphedeliste">
    <w:name w:val="List Paragraph"/>
    <w:basedOn w:val="Normal"/>
    <w:uiPriority w:val="34"/>
    <w:qFormat/>
    <w:rsid w:val="009C6C21"/>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auGrille2-Accentuation5">
    <w:name w:val="Grid Table 2 Accent 5"/>
    <w:basedOn w:val="TableauNormal"/>
    <w:uiPriority w:val="4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tte">
    <w:name w:val="header"/>
    <w:basedOn w:val="Normal"/>
    <w:link w:val="En-tteCar"/>
    <w:uiPriority w:val="99"/>
    <w:unhideWhenUsed/>
    <w:rsid w:val="00727351"/>
    <w:pPr>
      <w:tabs>
        <w:tab w:val="center" w:pos="4680"/>
        <w:tab w:val="right" w:pos="9360"/>
      </w:tabs>
      <w:spacing w:after="0" w:line="240" w:lineRule="auto"/>
    </w:pPr>
  </w:style>
  <w:style w:type="character" w:customStyle="1" w:styleId="En-tteCar">
    <w:name w:val="En-tête Car"/>
    <w:basedOn w:val="Policepardfaut"/>
    <w:link w:val="En-tte"/>
    <w:uiPriority w:val="99"/>
    <w:rsid w:val="00727351"/>
    <w:rPr>
      <w:lang w:val="en-US"/>
    </w:rPr>
  </w:style>
  <w:style w:type="paragraph" w:styleId="Pieddepage">
    <w:name w:val="footer"/>
    <w:basedOn w:val="Normal"/>
    <w:link w:val="PieddepageCar"/>
    <w:uiPriority w:val="99"/>
    <w:unhideWhenUsed/>
    <w:rsid w:val="0072735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27351"/>
    <w:rPr>
      <w:lang w:val="en-US"/>
    </w:rPr>
  </w:style>
  <w:style w:type="paragraph" w:styleId="Sansinterligne">
    <w:name w:val="No Spacing"/>
    <w:link w:val="SansinterligneCar"/>
    <w:uiPriority w:val="1"/>
    <w:qFormat/>
    <w:rsid w:val="007F40CE"/>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7F40CE"/>
    <w:rPr>
      <w:rFonts w:eastAsiaTheme="minorEastAsia"/>
      <w:lang w:val="en-US"/>
    </w:rPr>
  </w:style>
  <w:style w:type="paragraph" w:styleId="Textedebulles">
    <w:name w:val="Balloon Text"/>
    <w:basedOn w:val="Normal"/>
    <w:link w:val="TextedebullesCar"/>
    <w:uiPriority w:val="99"/>
    <w:semiHidden/>
    <w:unhideWhenUsed/>
    <w:rsid w:val="00C11E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1E3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57698">
      <w:bodyDiv w:val="1"/>
      <w:marLeft w:val="0"/>
      <w:marRight w:val="0"/>
      <w:marTop w:val="0"/>
      <w:marBottom w:val="0"/>
      <w:divBdr>
        <w:top w:val="none" w:sz="0" w:space="0" w:color="auto"/>
        <w:left w:val="none" w:sz="0" w:space="0" w:color="auto"/>
        <w:bottom w:val="none" w:sz="0" w:space="0" w:color="auto"/>
        <w:right w:val="none" w:sz="0" w:space="0" w:color="auto"/>
      </w:divBdr>
    </w:div>
    <w:div w:id="5511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Fièvre de la Vallée du Rift Une Meilleure Surveillance Pour Une Meilleure Lutte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49F0178883285439DDAAFB9420899D4" ma:contentTypeVersion="13" ma:contentTypeDescription="Creare un nuovo documento." ma:contentTypeScope="" ma:versionID="0002e4f705186860b97516081a39963f">
  <xsd:schema xmlns:xsd="http://www.w3.org/2001/XMLSchema" xmlns:xs="http://www.w3.org/2001/XMLSchema" xmlns:p="http://schemas.microsoft.com/office/2006/metadata/properties" xmlns:ns3="a8c70a88-ba55-4b59-ac54-51bd6c95ef53" xmlns:ns4="1a52df4b-c92a-439d-a803-9485669d3250" targetNamespace="http://schemas.microsoft.com/office/2006/metadata/properties" ma:root="true" ma:fieldsID="fff341dd432a57eaf8518e8c7917d17e" ns3:_="" ns4:_="">
    <xsd:import namespace="a8c70a88-ba55-4b59-ac54-51bd6c95ef53"/>
    <xsd:import namespace="1a52df4b-c92a-439d-a803-9485669d32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70a88-ba55-4b59-ac54-51bd6c95e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52df4b-c92a-439d-a803-9485669d325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1B8BC4-9E0A-4B20-9453-E9FF37183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70a88-ba55-4b59-ac54-51bd6c95ef53"/>
    <ds:schemaRef ds:uri="1a52df4b-c92a-439d-a803-9485669d3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C7993-3FC4-4B45-9D93-FD3041ABC8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EDB123-A861-4357-B2D3-68C541EACBCD}">
  <ds:schemaRefs>
    <ds:schemaRef ds:uri="http://schemas.microsoft.com/sharepoint/v3/contenttype/forms"/>
  </ds:schemaRefs>
</ds:datastoreItem>
</file>

<file path=customXml/itemProps5.xml><?xml version="1.0" encoding="utf-8"?>
<ds:datastoreItem xmlns:ds="http://schemas.openxmlformats.org/officeDocument/2006/customXml" ds:itemID="{06AB5142-DDF1-4B61-958B-1F969A46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Fièvre de la Vallée du Rift</vt:lpstr>
    </vt:vector>
  </TitlesOfParts>
  <Company>HP</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Fièvre de la Vallée du Rift</dc:title>
  <dc:subject>Une meilleure surveillance pour une meilleure lutte</dc:subject>
  <dc:creator>HP</dc:creator>
  <cp:keywords/>
  <dc:description/>
  <cp:lastModifiedBy>Bengoumi, Mohammed (FAOSNE)</cp:lastModifiedBy>
  <cp:revision>2</cp:revision>
  <cp:lastPrinted>2022-11-14T09:26:00Z</cp:lastPrinted>
  <dcterms:created xsi:type="dcterms:W3CDTF">2022-11-15T07:45:00Z</dcterms:created>
  <dcterms:modified xsi:type="dcterms:W3CDTF">2022-11-15T07:45:00Z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0x010100D49F0178883285439DDAAFB9420899D4</vt:lpwstr>
  </property>
</Properties>
</file>